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F069" w14:textId="77777777" w:rsidR="006B4DF8" w:rsidRDefault="002A118D" w:rsidP="004B1A6D">
      <w:pPr>
        <w:pStyle w:val="a9"/>
        <w:ind w:firstLine="0"/>
        <w:jc w:val="center"/>
        <w:rPr>
          <w:rFonts w:asciiTheme="majorHAnsi" w:eastAsia="Arial Unicode MS" w:hAnsi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/>
          <w:b/>
          <w:bCs/>
          <w: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="006B4DF8">
        <w:rPr>
          <w:rFonts w:asciiTheme="majorHAnsi" w:eastAsia="Arial Unicode MS" w:hAnsiTheme="majorHAnsi" w:hint="cs"/>
          <w:b/>
          <w:bCs/>
          <w:cs/>
        </w:rPr>
        <w:t>ตามตัวชี้วัดคำรับรองการปฏิบัติราชการ (</w:t>
      </w:r>
      <w:r w:rsidR="006B4DF8">
        <w:rPr>
          <w:rFonts w:asciiTheme="majorHAnsi" w:eastAsia="Arial Unicode MS" w:hAnsiTheme="majorHAnsi"/>
          <w:b/>
          <w:bCs/>
        </w:rPr>
        <w:t>MOU</w:t>
      </w:r>
      <w:r w:rsidR="006B4DF8">
        <w:rPr>
          <w:rFonts w:asciiTheme="majorHAnsi" w:eastAsia="Arial Unicode MS" w:hAnsiTheme="majorHAnsi" w:hint="cs"/>
          <w:b/>
          <w:bCs/>
          <w:cs/>
        </w:rPr>
        <w:t>) สสจ.แพร่ ปีงบประมาณ 2565</w:t>
      </w:r>
    </w:p>
    <w:p w14:paraId="123AE8DE" w14:textId="196E492E" w:rsidR="006B4DF8" w:rsidRDefault="002436E4" w:rsidP="006B4DF8">
      <w:pPr>
        <w:pStyle w:val="a9"/>
        <w:ind w:firstLine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 w:hint="cs"/>
          <w:b/>
          <w:bCs/>
          <w:cs/>
        </w:rPr>
        <w:t>รอบที่ 2 (ผลการดำเนินงานระหว่างวันที่ 1 ต.ค.</w:t>
      </w:r>
      <w:r w:rsidR="001F60E6">
        <w:rPr>
          <w:rFonts w:asciiTheme="majorHAnsi" w:hAnsiTheme="majorHAnsi" w:cstheme="majorHAnsi" w:hint="cs"/>
          <w:b/>
          <w:bCs/>
          <w:cs/>
        </w:rPr>
        <w:t xml:space="preserve"> </w:t>
      </w:r>
      <w:r>
        <w:rPr>
          <w:rFonts w:asciiTheme="majorHAnsi" w:hAnsiTheme="majorHAnsi" w:cstheme="majorHAnsi" w:hint="cs"/>
          <w:b/>
          <w:bCs/>
          <w:cs/>
        </w:rPr>
        <w:t xml:space="preserve">2564 </w:t>
      </w:r>
      <w:r>
        <w:rPr>
          <w:rFonts w:asciiTheme="majorHAnsi" w:hAnsiTheme="majorHAnsi" w:cstheme="majorHAnsi"/>
          <w:b/>
          <w:bCs/>
          <w:cs/>
        </w:rPr>
        <w:t>–</w:t>
      </w:r>
      <w:r>
        <w:rPr>
          <w:rFonts w:asciiTheme="majorHAnsi" w:hAnsiTheme="majorHAnsi" w:cstheme="majorHAnsi" w:hint="cs"/>
          <w:b/>
          <w:bCs/>
          <w:cs/>
        </w:rPr>
        <w:t xml:space="preserve"> 31 ก.ค. 2565)</w:t>
      </w:r>
      <w:r w:rsidR="006B4DF8">
        <w:rPr>
          <w:rFonts w:asciiTheme="majorHAnsi" w:hAnsiTheme="majorHAnsi" w:cstheme="majorHAnsi" w:hint="cs"/>
          <w:b/>
          <w:bCs/>
          <w:cs/>
        </w:rPr>
        <w:t xml:space="preserve"> </w:t>
      </w:r>
      <w:r w:rsidR="006B4DF8" w:rsidRPr="00C166A3">
        <w:rPr>
          <w:rFonts w:asciiTheme="majorHAnsi" w:eastAsia="Arial Unicode MS" w:hAnsiTheme="majorHAnsi"/>
          <w:b/>
          <w:bCs/>
          <w:cs/>
        </w:rPr>
        <w:t>ของ</w:t>
      </w:r>
      <w:r w:rsidR="006B4DF8" w:rsidRPr="00C166A3">
        <w:rPr>
          <w:rFonts w:asciiTheme="majorHAnsi" w:eastAsia="Arial Unicode MS" w:hAnsiTheme="majorHAnsi" w:cstheme="majorHAnsi"/>
          <w:b/>
          <w:bCs/>
          <w:cs/>
        </w:rPr>
        <w:t xml:space="preserve"> คปสอ</w:t>
      </w:r>
      <w:r w:rsidR="006B4DF8">
        <w:rPr>
          <w:rFonts w:asciiTheme="majorHAnsi" w:eastAsia="Arial Unicode MS" w:hAnsiTheme="majorHAnsi" w:cstheme="majorHAnsi" w:hint="cs"/>
          <w:b/>
          <w:bCs/>
          <w:cs/>
        </w:rPr>
        <w:t>.เด่นชัย</w:t>
      </w:r>
    </w:p>
    <w:p w14:paraId="7F5053AB" w14:textId="6A7F8803" w:rsidR="002436E4" w:rsidRDefault="002436E4" w:rsidP="004B1A6D">
      <w:pPr>
        <w:pStyle w:val="a9"/>
        <w:ind w:firstLine="0"/>
        <w:jc w:val="center"/>
        <w:rPr>
          <w:rFonts w:asciiTheme="majorHAnsi" w:hAnsiTheme="majorHAnsi" w:cstheme="majorHAnsi"/>
          <w:b/>
          <w:bCs/>
          <w:cs/>
        </w:rPr>
      </w:pPr>
    </w:p>
    <w:tbl>
      <w:tblPr>
        <w:tblStyle w:val="TableNormal"/>
        <w:tblW w:w="1075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  <w:gridCol w:w="977"/>
      </w:tblGrid>
      <w:tr w:rsidR="0050648B" w:rsidRPr="00CD2590" w14:paraId="5C904A6E" w14:textId="77777777" w:rsidTr="003C4A8A">
        <w:trPr>
          <w:trHeight w:val="452"/>
          <w:tblHeader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D2590" w:rsidRDefault="00C13CB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D2590" w:rsidRDefault="00C13CBD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Pr="00CD2590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D2590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 w:hint="cs"/>
                <w:sz w:val="30"/>
                <w:szCs w:val="30"/>
                <w:cs/>
              </w:rPr>
              <w:t xml:space="preserve">(เต็ม </w:t>
            </w: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5)</w:t>
            </w:r>
          </w:p>
        </w:tc>
      </w:tr>
      <w:tr w:rsidR="00125C31" w:rsidRPr="00CD2590" w14:paraId="72E1893D" w14:textId="77777777" w:rsidTr="003C4A8A">
        <w:tblPrEx>
          <w:shd w:val="clear" w:color="auto" w:fill="000000"/>
        </w:tblPrEx>
        <w:trPr>
          <w:trHeight w:val="58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6B607C43" w:rsidR="00125C31" w:rsidRPr="00CD2590" w:rsidRDefault="00125C31" w:rsidP="00125C31">
            <w:pPr>
              <w:ind w:firstLine="157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มิติภายนอก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70)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125C31" w:rsidRPr="00CD2590" w:rsidRDefault="00125C31" w:rsidP="003C4A8A">
            <w:pPr>
              <w:jc w:val="center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50648B" w:rsidRPr="00CD2590" w14:paraId="69DCCA6D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0BFB" w14:textId="6FDAA144" w:rsidR="00125C31" w:rsidRPr="00CD2590" w:rsidRDefault="00C13CBD" w:rsidP="00125C31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ด้านประสิทธิผล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 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r w:rsidR="002A27BA"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15AD6EE" w14:textId="4C198EAC" w:rsidR="0050648B" w:rsidRPr="00CD2590" w:rsidRDefault="00C13CBD" w:rsidP="00125C31">
            <w:pPr>
              <w:suppressAutoHyphens/>
              <w:ind w:left="253"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1B7B6D9C" w:rsidR="0050648B" w:rsidRPr="00394C36" w:rsidRDefault="004742F4" w:rsidP="004742F4">
            <w:pPr>
              <w:pStyle w:val="af4"/>
              <w:tabs>
                <w:tab w:val="clear" w:pos="1134"/>
              </w:tabs>
              <w:ind w:left="142" w:right="211"/>
              <w:rPr>
                <w:rFonts w:asciiTheme="majorHAnsi" w:hAnsiTheme="majorHAnsi" w:cstheme="majorHAnsi"/>
                <w:color w:val="auto"/>
                <w:spacing w:val="-6"/>
                <w:sz w:val="30"/>
                <w:szCs w:val="30"/>
              </w:rPr>
            </w:pPr>
            <w:r w:rsidRPr="00394C36">
              <w:rPr>
                <w:rFonts w:asciiTheme="majorHAnsi" w:hAnsiTheme="majorHAnsi" w:cs="TH SarabunPSK" w:hint="cs"/>
                <w:color w:val="auto"/>
                <w:spacing w:val="-6"/>
                <w:sz w:val="30"/>
                <w:szCs w:val="30"/>
                <w:cs/>
              </w:rPr>
              <w:t xml:space="preserve">1) </w:t>
            </w:r>
            <w:r w:rsidR="00C13CBD" w:rsidRPr="00394C36">
              <w:rPr>
                <w:rFonts w:asciiTheme="majorHAnsi" w:hAnsiTheme="majorHAnsi" w:cs="TH SarabunPSK"/>
                <w:color w:val="auto"/>
                <w:spacing w:val="-6"/>
                <w:sz w:val="30"/>
                <w:szCs w:val="30"/>
                <w:cs/>
              </w:rPr>
              <w:t>อัตราความครอบคลุมของการได้รับวัคซีนป้องกันโรคติดเชื้อ</w:t>
            </w:r>
            <w:proofErr w:type="spellStart"/>
            <w:r w:rsidR="00C13CBD" w:rsidRPr="00394C36">
              <w:rPr>
                <w:rFonts w:asciiTheme="majorHAnsi" w:hAnsiTheme="majorHAnsi" w:cs="TH SarabunPSK"/>
                <w:color w:val="auto"/>
                <w:spacing w:val="-6"/>
                <w:sz w:val="30"/>
                <w:szCs w:val="30"/>
                <w:cs/>
              </w:rPr>
              <w:t>ไวรัส</w:t>
            </w:r>
            <w:proofErr w:type="spellEnd"/>
            <w:r w:rsidR="00C13CBD" w:rsidRPr="00394C36">
              <w:rPr>
                <w:rFonts w:asciiTheme="majorHAnsi" w:hAnsiTheme="majorHAnsi" w:cs="TH SarabunPSK"/>
                <w:color w:val="auto"/>
                <w:spacing w:val="-6"/>
                <w:sz w:val="30"/>
                <w:szCs w:val="30"/>
                <w:cs/>
              </w:rPr>
              <w:t xml:space="preserve">โคโรนา </w:t>
            </w:r>
            <w:r w:rsidR="00C13CBD" w:rsidRPr="00394C36">
              <w:rPr>
                <w:rFonts w:asciiTheme="majorHAnsi" w:hAnsiTheme="majorHAnsi" w:cstheme="majorHAnsi"/>
                <w:color w:val="auto"/>
                <w:spacing w:val="-6"/>
                <w:sz w:val="30"/>
                <w:szCs w:val="30"/>
              </w:rPr>
              <w:t xml:space="preserve">2019 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EA9" w14:textId="544535EE" w:rsidR="0050648B" w:rsidRPr="00394C36" w:rsidRDefault="003C4A8A" w:rsidP="00394C36">
            <w:pPr>
              <w:pStyle w:val="af4"/>
              <w:tabs>
                <w:tab w:val="left" w:pos="1440"/>
              </w:tabs>
              <w:suppressAutoHyphens/>
              <w:ind w:left="0"/>
              <w:jc w:val="center"/>
              <w:outlineLvl w:val="0"/>
              <w:rPr>
                <w:rFonts w:asciiTheme="majorHAnsi" w:hAnsiTheme="majorHAnsi" w:cstheme="majorHAnsi"/>
                <w:color w:val="auto"/>
                <w:sz w:val="30"/>
                <w:szCs w:val="30"/>
              </w:rPr>
            </w:pPr>
            <w:r w:rsidRPr="00394C36">
              <w:rPr>
                <w:rFonts w:asciiTheme="majorHAnsi" w:hAnsiTheme="majorHAnsi" w:cstheme="majorHAnsi"/>
                <w:color w:val="auto"/>
                <w:sz w:val="30"/>
                <w:szCs w:val="30"/>
              </w:rPr>
              <w:t>5</w:t>
            </w:r>
          </w:p>
        </w:tc>
      </w:tr>
      <w:tr w:rsidR="0050648B" w:rsidRPr="00CD2590" w14:paraId="01ED9A1C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E9A0D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6C4522B2" w:rsidR="0050648B" w:rsidRPr="00CD2590" w:rsidRDefault="004742F4" w:rsidP="004742F4">
            <w:pPr>
              <w:pStyle w:val="af4"/>
              <w:tabs>
                <w:tab w:val="clear" w:pos="1134"/>
              </w:tabs>
              <w:ind w:left="142" w:right="211"/>
              <w:rPr>
                <w:rFonts w:asciiTheme="majorHAnsi" w:hAnsiTheme="majorHAnsi" w:cstheme="majorHAnsi"/>
                <w:spacing w:val="-4"/>
                <w:sz w:val="30"/>
                <w:szCs w:val="30"/>
              </w:rPr>
            </w:pPr>
            <w:r>
              <w:rPr>
                <w:rFonts w:asciiTheme="majorHAnsi" w:hAnsiTheme="majorHAnsi" w:cs="TH SarabunPSK" w:hint="cs"/>
                <w:spacing w:val="-14"/>
                <w:sz w:val="30"/>
                <w:szCs w:val="30"/>
                <w:cs/>
              </w:rPr>
              <w:t xml:space="preserve">2) </w:t>
            </w:r>
            <w:r w:rsidR="00C13CBD" w:rsidRPr="00CD2590">
              <w:rPr>
                <w:rFonts w:asciiTheme="majorHAnsi" w:hAnsiTheme="majorHAnsi" w:cs="TH SarabunPSK"/>
                <w:spacing w:val="-14"/>
                <w:sz w:val="30"/>
                <w:szCs w:val="30"/>
                <w:cs/>
              </w:rPr>
              <w:t>อัตราความครอบคลุมของการคัดกรองกลุ่มเป้าหมายด้วยการ</w:t>
            </w:r>
            <w:r w:rsidR="002A27BA" w:rsidRPr="00CD2590">
              <w:rPr>
                <w:rFonts w:asciiTheme="majorHAnsi" w:hAnsiTheme="majorHAnsi" w:cstheme="majorHAnsi"/>
                <w:spacing w:val="-14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 w:cstheme="majorHAnsi"/>
                <w:spacing w:val="-14"/>
                <w:sz w:val="30"/>
                <w:szCs w:val="30"/>
              </w:rPr>
              <w:t>X-ray</w:t>
            </w:r>
            <w:r w:rsidR="00B1298A" w:rsidRPr="00CD2590">
              <w:rPr>
                <w:rFonts w:asciiTheme="majorHAnsi" w:hAnsiTheme="majorHAnsi" w:cstheme="majorHAnsi"/>
                <w:spacing w:val="-14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 w:cs="TH SarabunPSK"/>
                <w:spacing w:val="-14"/>
                <w:sz w:val="30"/>
                <w:szCs w:val="30"/>
                <w:cs/>
              </w:rPr>
              <w:t>ปอด</w:t>
            </w:r>
            <w:r w:rsidR="006D06E6" w:rsidRPr="00CD2590">
              <w:rPr>
                <w:rFonts w:asciiTheme="majorHAnsi" w:hAnsiTheme="majorHAnsi" w:cstheme="majorHAnsi"/>
                <w:spacing w:val="-14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 w:cs="TH SarabunPSK"/>
                <w:spacing w:val="-14"/>
                <w:sz w:val="30"/>
                <w:szCs w:val="30"/>
                <w:cs/>
              </w:rPr>
              <w:t>อย่างน้อย</w:t>
            </w:r>
            <w:r w:rsidR="00B1298A" w:rsidRPr="00CD2590">
              <w:rPr>
                <w:rFonts w:asciiTheme="majorHAnsi" w:hAnsiTheme="majorHAnsi" w:cstheme="majorHAnsi"/>
                <w:spacing w:val="-4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 w:cs="TH SarabunPSK"/>
                <w:spacing w:val="-4"/>
                <w:sz w:val="30"/>
                <w:szCs w:val="30"/>
                <w:cs/>
              </w:rPr>
              <w:t xml:space="preserve">ปีละ </w:t>
            </w:r>
            <w:r w:rsidR="00C13CBD" w:rsidRPr="00CD2590">
              <w:rPr>
                <w:rFonts w:asciiTheme="majorHAnsi" w:hAnsiTheme="majorHAnsi" w:cstheme="majorHAnsi"/>
                <w:spacing w:val="-4"/>
                <w:sz w:val="30"/>
                <w:szCs w:val="30"/>
              </w:rPr>
              <w:t xml:space="preserve">1 </w:t>
            </w:r>
            <w:r w:rsidR="00C13CBD" w:rsidRPr="00CD2590">
              <w:rPr>
                <w:rFonts w:asciiTheme="majorHAnsi" w:hAnsiTheme="majorHAnsi" w:cs="TH SarabunPSK"/>
                <w:spacing w:val="-4"/>
                <w:sz w:val="30"/>
                <w:szCs w:val="30"/>
                <w:cs/>
              </w:rPr>
              <w:t>ครั้ง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FF3D" w14:textId="11652834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10C0D20D" w14:textId="77777777" w:rsidTr="003C4A8A">
        <w:tblPrEx>
          <w:shd w:val="clear" w:color="auto" w:fill="000000"/>
        </w:tblPrEx>
        <w:trPr>
          <w:trHeight w:val="18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DDA93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2F88ABC" w:rsidR="0050648B" w:rsidRPr="00CD2590" w:rsidRDefault="004742F4" w:rsidP="004742F4">
            <w:pPr>
              <w:pStyle w:val="af4"/>
              <w:tabs>
                <w:tab w:val="clear" w:pos="1134"/>
              </w:tabs>
              <w:ind w:left="142" w:right="211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cs="TH SarabunPSK" w:hint="cs"/>
                <w:sz w:val="30"/>
                <w:szCs w:val="30"/>
                <w:cs/>
              </w:rPr>
              <w:t xml:space="preserve">3) </w:t>
            </w:r>
            <w:r w:rsidR="00C13CBD" w:rsidRPr="00CD2590">
              <w:rPr>
                <w:rFonts w:asciiTheme="majorHAnsi" w:hAnsiTheme="majorHAnsi" w:cs="TH SarabunPSK"/>
                <w:sz w:val="30"/>
                <w:szCs w:val="30"/>
                <w:cs/>
              </w:rPr>
              <w:t>ร้อยละผู้ป่วยโรคความดันโลหิตสูงที่ควบคุมระดับความดันโลหิต</w:t>
            </w:r>
            <w:r w:rsidR="00C166A3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 w:cs="TH SarabunPSK"/>
                <w:sz w:val="30"/>
                <w:szCs w:val="30"/>
                <w:cs/>
              </w:rPr>
              <w:t>ได้ดี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4F4" w14:textId="70C413DA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18A2E55C" w14:textId="77777777" w:rsidTr="003C4A8A">
        <w:tblPrEx>
          <w:shd w:val="clear" w:color="auto" w:fill="000000"/>
        </w:tblPrEx>
        <w:trPr>
          <w:trHeight w:val="311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6F30C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335109CA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4)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4E" w14:textId="2D3A7E8B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2</w:t>
            </w:r>
          </w:p>
        </w:tc>
      </w:tr>
      <w:tr w:rsidR="0050648B" w:rsidRPr="00CD2590" w14:paraId="11D7F8D2" w14:textId="77777777" w:rsidTr="003C4A8A">
        <w:tblPrEx>
          <w:shd w:val="clear" w:color="auto" w:fill="000000"/>
        </w:tblPrEx>
        <w:trPr>
          <w:trHeight w:val="7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5B6AA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3589C29A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9AB" w14:textId="38156726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2</w:t>
            </w:r>
          </w:p>
        </w:tc>
      </w:tr>
      <w:tr w:rsidR="0050648B" w:rsidRPr="00CD2590" w14:paraId="637B7346" w14:textId="77777777" w:rsidTr="003C4A8A">
        <w:tblPrEx>
          <w:shd w:val="clear" w:color="auto" w:fill="000000"/>
        </w:tblPrEx>
        <w:trPr>
          <w:trHeight w:val="1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13FA5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6B706664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pacing w:val="-10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color w:val="2C2C2C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6) 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B5C8" w14:textId="2822EFAD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3</w:t>
            </w:r>
          </w:p>
        </w:tc>
      </w:tr>
      <w:tr w:rsidR="0050648B" w:rsidRPr="00CD2590" w14:paraId="05C611DE" w14:textId="77777777" w:rsidTr="003C4A8A">
        <w:tblPrEx>
          <w:shd w:val="clear" w:color="auto" w:fill="000000"/>
        </w:tblPrEx>
        <w:trPr>
          <w:trHeight w:val="28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2386C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5389482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color w:val="2C2C2C"/>
                <w:spacing w:val="-12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7) 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pacing w:val="-12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ร้อยละผู้ป่วยเบาหวานที่ได้รับการตรวจ </w:t>
            </w:r>
            <w:r w:rsidR="00C13CBD" w:rsidRPr="00CD2590">
              <w:rPr>
                <w:rFonts w:asciiTheme="majorHAnsi" w:eastAsia="Arial Unicode MS" w:hAnsiTheme="majorHAnsi" w:cstheme="majorHAnsi"/>
                <w:color w:val="2C2C2C"/>
                <w:spacing w:val="-12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HbA1c 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pacing w:val="-12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อย่างน้อย </w:t>
            </w:r>
            <w:r w:rsidR="00C13CBD" w:rsidRPr="00CD2590">
              <w:rPr>
                <w:rFonts w:asciiTheme="majorHAnsi" w:eastAsia="Arial Unicode MS" w:hAnsiTheme="majorHAnsi" w:cstheme="majorHAnsi"/>
                <w:color w:val="2C2C2C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ครั้ง</w:t>
            </w:r>
            <w:r w:rsidR="00C13CBD" w:rsidRPr="00CD2590">
              <w:rPr>
                <w:rFonts w:asciiTheme="majorHAnsi" w:eastAsia="Arial Unicode MS" w:hAnsiTheme="majorHAnsi" w:cstheme="majorHAnsi"/>
                <w:color w:val="2C2C2C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ปี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DE4" w14:textId="5F5195A4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1</w:t>
            </w:r>
          </w:p>
        </w:tc>
      </w:tr>
      <w:tr w:rsidR="0050648B" w:rsidRPr="00CD2590" w14:paraId="0C9460F8" w14:textId="77777777" w:rsidTr="003C4A8A">
        <w:tblPrEx>
          <w:shd w:val="clear" w:color="auto" w:fill="000000"/>
        </w:tblPrEx>
        <w:trPr>
          <w:trHeight w:val="27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8238E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2A2349CD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color w:val="2C2C2C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8) </w:t>
            </w:r>
            <w:r w:rsidR="00C13CBD" w:rsidRPr="00CD2590">
              <w:rPr>
                <w:rFonts w:asciiTheme="majorHAnsi" w:eastAsia="Arial Unicode MS" w:hAnsiTheme="majorHAnsi" w:cs="TH SarabunPSK"/>
                <w:color w:val="2C2C2C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34C" w14:textId="57E68D98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74E6E9A5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8D313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7D4D933D" w:rsidR="0050648B" w:rsidRPr="00CD2590" w:rsidRDefault="004742F4" w:rsidP="004742F4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ind w:left="142" w:right="211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sz w:val="30"/>
                <w:szCs w:val="30"/>
              </w:rPr>
              <w:t>9)</w:t>
            </w:r>
            <w:r w:rsidR="002A27BA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2A27BA" w:rsidRPr="00CD2590">
              <w:rPr>
                <w:rFonts w:asciiTheme="majorHAnsi" w:hAnsiTheme="majorHAnsi"/>
                <w:sz w:val="30"/>
                <w:szCs w:val="30"/>
                <w:cs/>
              </w:rPr>
              <w:t>ร้อยละของผู้ป่วย</w:t>
            </w:r>
            <w:r w:rsidR="003953FB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2A27BA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Palliative care </w:t>
            </w:r>
            <w:r w:rsidR="002A27BA" w:rsidRPr="00CD2590">
              <w:rPr>
                <w:rFonts w:asciiTheme="majorHAnsi" w:hAnsiTheme="majorHAnsi"/>
                <w:sz w:val="30"/>
                <w:szCs w:val="30"/>
                <w:cs/>
              </w:rPr>
              <w:t>ที่ได้รับการรักษาด้วยยากัญชาทางการ</w:t>
            </w:r>
            <w:r w:rsidR="003953FB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2A27BA" w:rsidRPr="00CD2590">
              <w:rPr>
                <w:rFonts w:asciiTheme="majorHAnsi" w:hAnsiTheme="majorHAnsi"/>
                <w:sz w:val="30"/>
                <w:szCs w:val="30"/>
                <w:cs/>
              </w:rPr>
              <w:t>แพทย์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21" w14:textId="42D2D1F7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20D77919" w14:textId="77777777" w:rsidTr="003C4A8A">
        <w:tblPrEx>
          <w:shd w:val="clear" w:color="auto" w:fill="000000"/>
        </w:tblPrEx>
        <w:trPr>
          <w:trHeight w:val="7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E43CB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24167A81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pacing w:val="-10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10) </w:t>
            </w:r>
            <w:r w:rsidR="00C13CBD" w:rsidRPr="00CD2590">
              <w:rPr>
                <w:rFonts w:asciiTheme="majorHAnsi" w:eastAsia="Arial Unicode MS" w:hAnsiTheme="majorHAnsi" w:cs="TH SarabunPSK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ร้อยละของผู้ป่วยกลุ่มเป้าหมายที่ได้รับการดูแลจาก </w:t>
            </w:r>
            <w:proofErr w:type="spellStart"/>
            <w:r w:rsidR="00C13CBD" w:rsidRPr="00CD2590">
              <w:rPr>
                <w:rFonts w:asciiTheme="majorHAnsi" w:eastAsia="Arial Unicode MS" w:hAnsiTheme="majorHAnsi" w:cs="TH SarabunPSK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อสม</w:t>
            </w:r>
            <w:proofErr w:type="spellEnd"/>
            <w:r w:rsidR="00C13CBD" w:rsidRPr="00CD2590">
              <w:rPr>
                <w:rFonts w:asciiTheme="majorHAnsi" w:eastAsia="Arial Unicode MS" w:hAnsiTheme="majorHAnsi" w:cstheme="majorHAnsi"/>
                <w:spacing w:val="-1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C13CBD" w:rsidRPr="00CD2590">
              <w:rPr>
                <w:rFonts w:asciiTheme="majorHAnsi" w:eastAsia="Arial Unicode MS" w:hAnsiTheme="majorHAnsi" w:cs="TH SarabunPSK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หมอประจำบ้าน</w:t>
            </w:r>
            <w:r w:rsidR="006D06E6" w:rsidRPr="00CD2590">
              <w:rPr>
                <w:rFonts w:asciiTheme="majorHAnsi" w:eastAsia="Arial Unicode MS" w:hAnsiTheme="majorHAnsi" w:cstheme="majorHAnsi"/>
                <w:spacing w:val="-1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C13CBD" w:rsidRPr="00CD2590">
              <w:rPr>
                <w:rFonts w:asciiTheme="majorHAnsi" w:eastAsia="Arial Unicode MS" w:hAnsiTheme="majorHAnsi" w:cs="TH SarabunPSK"/>
                <w:spacing w:val="-10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มีคุณภาพชีวิตที่ดี 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2CCDD117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039A59D2" w14:textId="77777777" w:rsidTr="003C4A8A">
        <w:tblPrEx>
          <w:shd w:val="clear" w:color="auto" w:fill="000000"/>
        </w:tblPrEx>
        <w:trPr>
          <w:trHeight w:val="6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58A8653A" w:rsidR="0050648B" w:rsidRPr="00CD2590" w:rsidRDefault="004742F4" w:rsidP="004742F4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pacing w:val="-6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ระดับความสำเร็จในการดำเนินงานผู้สูงอายุจังหวัดแพร่ ใน 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4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</w:t>
            </w:r>
            <w:r w:rsidR="006D06E6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จังหวัดแพร่ 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2565 (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ไม่ล้ม ไม่ลืม ไม่ซึมเศร้า กินข้าวลำ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="00C13CBD" w:rsidRPr="00CD2590">
              <w:rPr>
                <w:rFonts w:asciiTheme="majorHAnsi" w:eastAsia="Arial Unicode MS" w:hAnsiTheme="majorHAnsi" w:cstheme="majorHAnsi"/>
                <w:spacing w:val="-6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6EDB2975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1AB483E9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E059" w14:textId="612B5A4D" w:rsidR="003C4A8A" w:rsidRDefault="00C13CBD" w:rsidP="00125C31">
            <w:pPr>
              <w:numPr>
                <w:ilvl w:val="0"/>
                <w:numId w:val="24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ประเมินผลสำเร็จของการพัฒนาคุณภาพการให้บริการ </w:t>
            </w:r>
          </w:p>
          <w:p w14:paraId="53748855" w14:textId="05BA8FCD" w:rsidR="0050648B" w:rsidRPr="00CD2590" w:rsidRDefault="00C13CBD" w:rsidP="003C4A8A">
            <w:pPr>
              <w:suppressAutoHyphens/>
              <w:ind w:left="253"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</w:t>
            </w:r>
            <w:r w:rsidR="00125C31"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2EDA644A" w:rsidR="0050648B" w:rsidRPr="00CD2590" w:rsidRDefault="004742F4" w:rsidP="004742F4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ind w:left="142" w:right="211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hint="cs"/>
                <w:sz w:val="30"/>
                <w:szCs w:val="30"/>
                <w:cs/>
              </w:rPr>
              <w:t xml:space="preserve">12) </w:t>
            </w:r>
            <w:r w:rsidR="00C13CBD" w:rsidRPr="00CD2590">
              <w:rPr>
                <w:rFonts w:asciiTheme="majorHAnsi" w:hAnsiTheme="majorHAnsi"/>
                <w:sz w:val="30"/>
                <w:szCs w:val="30"/>
                <w:cs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/>
                <w:sz w:val="30"/>
                <w:szCs w:val="30"/>
                <w:cs/>
              </w:rPr>
              <w:t>เกณฑ์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68D25FFE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4</w:t>
            </w:r>
          </w:p>
        </w:tc>
      </w:tr>
      <w:tr w:rsidR="0050648B" w:rsidRPr="00CD2590" w14:paraId="096A72B9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/>
            <w:shd w:val="clear" w:color="auto" w:fill="auto"/>
          </w:tcPr>
          <w:p w14:paraId="1A3542FC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4C0837AE" w:rsidR="0050648B" w:rsidRPr="00CD2590" w:rsidRDefault="004742F4" w:rsidP="004742F4">
            <w:pPr>
              <w:pStyle w:val="af4"/>
              <w:numPr>
                <w:ilvl w:val="0"/>
                <w:numId w:val="39"/>
              </w:numPr>
              <w:tabs>
                <w:tab w:val="clear" w:pos="1134"/>
                <w:tab w:val="left" w:pos="425"/>
                <w:tab w:val="left" w:pos="1440"/>
                <w:tab w:val="left" w:pos="2880"/>
              </w:tabs>
              <w:suppressAutoHyphens/>
              <w:ind w:left="142" w:right="211" w:firstLine="0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 รพ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ที่ผ่านเกณฑ์พัฒนาคุณภาพ รพ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ติดดาว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AFD" w14:textId="69B98217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5</w:t>
            </w:r>
          </w:p>
        </w:tc>
      </w:tr>
      <w:tr w:rsidR="0050648B" w:rsidRPr="00CD2590" w14:paraId="308610E0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D2590" w:rsidRDefault="00C13CBD" w:rsidP="00CD2590">
            <w:pPr>
              <w:tabs>
                <w:tab w:val="left" w:pos="1440"/>
                <w:tab w:val="left" w:pos="2880"/>
              </w:tabs>
              <w:suppressAutoHyphens/>
              <w:ind w:firstLine="157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มิติภายใน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CD2590" w:rsidRDefault="0050648B" w:rsidP="00CD2590">
            <w:pPr>
              <w:ind w:right="211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D2590" w:rsidRDefault="0050648B" w:rsidP="003C4A8A">
            <w:pPr>
              <w:jc w:val="center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50648B" w:rsidRPr="00CD2590" w14:paraId="5BB89043" w14:textId="77777777" w:rsidTr="003C4A8A">
        <w:tblPrEx>
          <w:shd w:val="clear" w:color="auto" w:fill="000000"/>
        </w:tblPrEx>
        <w:trPr>
          <w:trHeight w:val="376"/>
        </w:trPr>
        <w:tc>
          <w:tcPr>
            <w:tcW w:w="297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D2590" w:rsidRDefault="00C13CBD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ด้านประสิทธิภาพของ               การดำเนินงาน                   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(2 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0224284" w:rsidR="0050648B" w:rsidRPr="00CD2590" w:rsidRDefault="004742F4" w:rsidP="001D2993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ind w:left="142" w:right="211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hAnsiTheme="majorHAnsi" w:hint="cs"/>
                <w:sz w:val="30"/>
                <w:szCs w:val="30"/>
                <w:cs/>
              </w:rPr>
              <w:t xml:space="preserve">14) </w:t>
            </w:r>
            <w:r w:rsidR="00C13CBD" w:rsidRPr="00CD2590">
              <w:rPr>
                <w:rFonts w:asciiTheme="majorHAnsi" w:hAnsiTheme="majorHAnsi"/>
                <w:sz w:val="30"/>
                <w:szCs w:val="30"/>
                <w:cs/>
              </w:rPr>
              <w:t>ระดับความสำเร็จของ รพ</w:t>
            </w:r>
            <w:r w:rsidR="00C13CBD" w:rsidRPr="00CD2590">
              <w:rPr>
                <w:rFonts w:asciiTheme="majorHAnsi" w:hAnsiTheme="majorHAnsi" w:cstheme="majorHAnsi"/>
                <w:sz w:val="30"/>
                <w:szCs w:val="30"/>
              </w:rPr>
              <w:t>.</w:t>
            </w:r>
            <w:r w:rsidR="00C13CBD" w:rsidRPr="00CD2590">
              <w:rPr>
                <w:rFonts w:asciiTheme="majorHAnsi" w:hAnsiTheme="majorHAnsi"/>
                <w:sz w:val="30"/>
                <w:szCs w:val="30"/>
                <w:cs/>
              </w:rPr>
              <w:t>ที่สามารถกำกับ</w:t>
            </w:r>
            <w:r w:rsidR="00B1726A" w:rsidRPr="00CD2590">
              <w:rPr>
                <w:rFonts w:asciiTheme="majorHAnsi" w:hAnsiTheme="majorHAnsi" w:cstheme="majorHAnsi"/>
                <w:sz w:val="30"/>
                <w:szCs w:val="30"/>
              </w:rPr>
              <w:t xml:space="preserve"> </w:t>
            </w:r>
            <w:r w:rsidR="00C13CBD" w:rsidRPr="00CD2590">
              <w:rPr>
                <w:rFonts w:asciiTheme="majorHAnsi" w:hAnsiTheme="majorHAnsi"/>
                <w:sz w:val="30"/>
                <w:szCs w:val="30"/>
                <w:cs/>
              </w:rPr>
              <w:t>ติดตามการใช้จ่ายเงินตามแผนเงินบำรุงโรงพยาบาล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418" w14:textId="0CC09F00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/>
                <w:sz w:val="30"/>
                <w:szCs w:val="30"/>
              </w:rPr>
              <w:t>2</w:t>
            </w:r>
          </w:p>
        </w:tc>
      </w:tr>
      <w:tr w:rsidR="0050648B" w:rsidRPr="00CD2590" w14:paraId="1B341773" w14:textId="77777777" w:rsidTr="003C4A8A">
        <w:tblPrEx>
          <w:shd w:val="clear" w:color="auto" w:fill="000000"/>
        </w:tblPrEx>
        <w:trPr>
          <w:trHeight w:val="58"/>
        </w:trPr>
        <w:tc>
          <w:tcPr>
            <w:tcW w:w="2977" w:type="dxa"/>
            <w:vMerge/>
            <w:shd w:val="clear" w:color="auto" w:fill="auto"/>
          </w:tcPr>
          <w:p w14:paraId="5283487C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2C1BCFAB" w:rsidR="0050648B" w:rsidRPr="00CD2590" w:rsidRDefault="004742F4" w:rsidP="003C4A8A">
            <w:pPr>
              <w:pStyle w:val="af4"/>
              <w:tabs>
                <w:tab w:val="left" w:pos="1440"/>
                <w:tab w:val="left" w:pos="2880"/>
              </w:tabs>
              <w:suppressAutoHyphens/>
              <w:ind w:left="142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15)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</w:t>
            </w:r>
            <w:r w:rsidR="004B1A6D" w:rsidRPr="00CD2590"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สำเร็จของการเบิกจ่ายงบประมาณ 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35D" w14:textId="2A69BDF1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 w:hint="cs"/>
                <w:sz w:val="30"/>
                <w:szCs w:val="30"/>
                <w:cs/>
              </w:rPr>
              <w:t>3</w:t>
            </w:r>
          </w:p>
        </w:tc>
      </w:tr>
      <w:tr w:rsidR="0050648B" w:rsidRPr="00CD2590" w14:paraId="0665B558" w14:textId="77777777" w:rsidTr="003C4A8A">
        <w:tblPrEx>
          <w:shd w:val="clear" w:color="auto" w:fill="000000"/>
        </w:tblPrEx>
        <w:trPr>
          <w:trHeight w:val="20"/>
        </w:trPr>
        <w:tc>
          <w:tcPr>
            <w:tcW w:w="297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A42B" w14:textId="77777777" w:rsidR="001D2993" w:rsidRPr="001D2993" w:rsidRDefault="00C13CBD" w:rsidP="001D2993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ด้านการพัฒนาองค์กรตามแนวทางการบริหารจัดการภาครัฐ </w:t>
            </w:r>
          </w:p>
          <w:p w14:paraId="38746740" w14:textId="2D2DE229" w:rsidR="0050648B" w:rsidRPr="00CD2590" w:rsidRDefault="00C13CBD" w:rsidP="001D2993">
            <w:pPr>
              <w:suppressAutoHyphens/>
              <w:ind w:left="253"/>
              <w:outlineLvl w:val="0"/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(4 </w:t>
            </w:r>
            <w:r w:rsidRPr="00CD2590">
              <w:rPr>
                <w:rFonts w:asciiTheme="majorHAnsi" w:eastAsia="Arial Unicode MS" w:hAnsiTheme="majorHAnsi"/>
                <w:b/>
                <w:bCs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D2590">
              <w:rPr>
                <w:rFonts w:asciiTheme="majorHAnsi" w:eastAsia="Arial Unicode MS" w:hAnsiTheme="majorHAnsi" w:cstheme="majorHAnsi"/>
                <w:b/>
                <w:bCs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20)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25EBB367" w:rsidR="0050648B" w:rsidRPr="00CD2590" w:rsidRDefault="004742F4" w:rsidP="003C4A8A">
            <w:pPr>
              <w:pStyle w:val="af4"/>
              <w:tabs>
                <w:tab w:val="left" w:pos="1440"/>
                <w:tab w:val="left" w:pos="2880"/>
              </w:tabs>
              <w:suppressAutoHyphens/>
              <w:ind w:left="70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16)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ระดับความสำเร็จของการดำเนินงานวิจัย</w:t>
            </w:r>
            <w:r w:rsidR="00C13CBD" w:rsidRPr="00CD2590">
              <w:rPr>
                <w:rFonts w:asciiTheme="majorHAnsi" w:eastAsia="Arial Unicode MS" w:hAnsiTheme="majorHAnsi" w:cstheme="majorHAnsi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/R2R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ด้านสุขภาพของหน่วยงานสู่การนำไปใช้ประโยชน์ 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35A89DB1" w:rsidR="0050648B" w:rsidRPr="00CD2590" w:rsidRDefault="004B1A6D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 w:hint="cs"/>
                <w:sz w:val="30"/>
                <w:szCs w:val="30"/>
                <w:cs/>
              </w:rPr>
              <w:t>5</w:t>
            </w:r>
          </w:p>
        </w:tc>
      </w:tr>
      <w:tr w:rsidR="0050648B" w:rsidRPr="00CD2590" w14:paraId="6096BCFA" w14:textId="77777777" w:rsidTr="003C4A8A">
        <w:tblPrEx>
          <w:shd w:val="clear" w:color="auto" w:fill="000000"/>
        </w:tblPrEx>
        <w:trPr>
          <w:trHeight w:val="170"/>
        </w:trPr>
        <w:tc>
          <w:tcPr>
            <w:tcW w:w="2977" w:type="dxa"/>
            <w:vMerge/>
            <w:shd w:val="clear" w:color="auto" w:fill="auto"/>
          </w:tcPr>
          <w:p w14:paraId="06EAA892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073ADB73" w:rsidR="0050648B" w:rsidRPr="009936CE" w:rsidRDefault="00C13CBD" w:rsidP="003C4A8A">
            <w:pPr>
              <w:pStyle w:val="af4"/>
              <w:numPr>
                <w:ilvl w:val="0"/>
                <w:numId w:val="41"/>
              </w:numPr>
              <w:tabs>
                <w:tab w:val="clear" w:pos="1134"/>
                <w:tab w:val="left" w:pos="495"/>
                <w:tab w:val="left" w:pos="1440"/>
                <w:tab w:val="left" w:pos="2880"/>
              </w:tabs>
              <w:suppressAutoHyphens/>
              <w:ind w:right="211"/>
              <w:outlineLvl w:val="0"/>
              <w:rPr>
                <w:rFonts w:asciiTheme="majorHAnsi" w:hAnsiTheme="majorHAnsi" w:cstheme="majorHAnsi"/>
                <w:color w:val="0000FF"/>
                <w:sz w:val="30"/>
                <w:szCs w:val="30"/>
              </w:rPr>
            </w:pPr>
            <w:r w:rsidRPr="009936CE">
              <w:rPr>
                <w:rFonts w:asciiTheme="majorHAnsi" w:eastAsia="Arial Unicode MS" w:hAnsiTheme="majorHAnsi" w:cs="TH SarabunPSK"/>
                <w:color w:val="0000FF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65B01029" w:rsidR="0050648B" w:rsidRPr="009936CE" w:rsidRDefault="00A74510" w:rsidP="00394C3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0000FF"/>
                <w:sz w:val="30"/>
                <w:szCs w:val="30"/>
              </w:rPr>
            </w:pPr>
            <w:r w:rsidRPr="009936CE">
              <w:rPr>
                <w:rFonts w:asciiTheme="majorHAnsi" w:hAnsiTheme="majorHAnsi" w:cstheme="majorHAnsi"/>
                <w:color w:val="0000FF"/>
                <w:sz w:val="30"/>
                <w:szCs w:val="30"/>
              </w:rPr>
              <w:t>3</w:t>
            </w:r>
          </w:p>
        </w:tc>
      </w:tr>
      <w:tr w:rsidR="0050648B" w:rsidRPr="00CD2590" w14:paraId="6F4CFF87" w14:textId="77777777" w:rsidTr="003C4A8A">
        <w:tblPrEx>
          <w:shd w:val="clear" w:color="auto" w:fill="000000"/>
        </w:tblPrEx>
        <w:trPr>
          <w:trHeight w:val="20"/>
        </w:trPr>
        <w:tc>
          <w:tcPr>
            <w:tcW w:w="2977" w:type="dxa"/>
            <w:vMerge/>
            <w:shd w:val="clear" w:color="auto" w:fill="auto"/>
          </w:tcPr>
          <w:p w14:paraId="11DCB311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3B7CA67A" w:rsidR="0050648B" w:rsidRPr="002E6965" w:rsidRDefault="004742F4" w:rsidP="003C4A8A">
            <w:pPr>
              <w:pStyle w:val="af4"/>
              <w:tabs>
                <w:tab w:val="left" w:pos="1440"/>
                <w:tab w:val="left" w:pos="2880"/>
              </w:tabs>
              <w:suppressAutoHyphens/>
              <w:ind w:left="70" w:right="211"/>
              <w:outlineLvl w:val="0"/>
              <w:rPr>
                <w:rFonts w:asciiTheme="majorHAnsi" w:hAnsiTheme="majorHAnsi" w:cstheme="majorHAnsi"/>
                <w:color w:val="auto"/>
                <w:sz w:val="30"/>
                <w:szCs w:val="30"/>
              </w:rPr>
            </w:pPr>
            <w:r w:rsidRPr="002E6965">
              <w:rPr>
                <w:rFonts w:asciiTheme="majorHAnsi" w:eastAsia="Arial Unicode MS" w:hAnsiTheme="majorHAnsi" w:cs="TH SarabunPSK" w:hint="cs"/>
                <w:color w:val="auto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18) </w:t>
            </w:r>
            <w:r w:rsidR="00C13CBD" w:rsidRPr="002E6965">
              <w:rPr>
                <w:rFonts w:asciiTheme="majorHAnsi" w:eastAsia="Arial Unicode MS" w:hAnsiTheme="majorHAnsi" w:cs="TH SarabunPSK"/>
                <w:color w:val="auto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ระดับความสำเร็จของการแลกเปลี่ยนข้อมูลผ่าน </w:t>
            </w:r>
            <w:r w:rsidR="00C13CBD" w:rsidRPr="002E6965">
              <w:rPr>
                <w:rFonts w:asciiTheme="majorHAnsi" w:eastAsia="Arial Unicode MS" w:hAnsiTheme="majorHAnsi" w:cstheme="majorHAnsi"/>
                <w:color w:val="auto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NAN API </w:t>
            </w:r>
            <w:r w:rsidR="00C13CBD" w:rsidRPr="002E6965">
              <w:rPr>
                <w:rFonts w:asciiTheme="majorHAnsi" w:eastAsia="Arial Unicode MS" w:hAnsiTheme="majorHAnsi" w:cs="TH SarabunPSK"/>
                <w:color w:val="auto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และ </w:t>
            </w:r>
            <w:r w:rsidR="00C13CBD" w:rsidRPr="002E6965">
              <w:rPr>
                <w:rFonts w:asciiTheme="majorHAnsi" w:eastAsia="Arial Unicode MS" w:hAnsiTheme="majorHAnsi" w:cstheme="majorHAnsi"/>
                <w:color w:val="auto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HIS Gateway </w:t>
            </w:r>
            <w:r w:rsidR="00C13CBD" w:rsidRPr="002E6965">
              <w:rPr>
                <w:rFonts w:asciiTheme="majorHAnsi" w:eastAsia="Arial Unicode MS" w:hAnsiTheme="majorHAnsi" w:cs="TH SarabunPSK"/>
                <w:color w:val="auto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และผ่านเกณฑ์ความมั่นคงปลอดภัยทางไซเบอร์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27A7D97F" w:rsidR="0050648B" w:rsidRPr="002E6965" w:rsidRDefault="002E6965" w:rsidP="002E6965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color w:val="auto"/>
                <w:sz w:val="30"/>
                <w:szCs w:val="30"/>
              </w:rPr>
            </w:pPr>
            <w:r w:rsidRPr="002E6965">
              <w:rPr>
                <w:rFonts w:asciiTheme="majorHAnsi" w:hAnsiTheme="majorHAnsi" w:cstheme="majorHAnsi" w:hint="cs"/>
                <w:color w:val="auto"/>
                <w:sz w:val="30"/>
                <w:szCs w:val="30"/>
                <w:cs/>
              </w:rPr>
              <w:t>5</w:t>
            </w:r>
          </w:p>
        </w:tc>
      </w:tr>
      <w:tr w:rsidR="0050648B" w:rsidRPr="00CD2590" w14:paraId="52BFD9EE" w14:textId="77777777" w:rsidTr="003C4A8A">
        <w:tblPrEx>
          <w:shd w:val="clear" w:color="auto" w:fill="000000"/>
        </w:tblPrEx>
        <w:trPr>
          <w:trHeight w:val="20"/>
        </w:trPr>
        <w:tc>
          <w:tcPr>
            <w:tcW w:w="2977" w:type="dxa"/>
            <w:vMerge/>
            <w:shd w:val="clear" w:color="auto" w:fill="auto"/>
          </w:tcPr>
          <w:p w14:paraId="77F3BEFF" w14:textId="77777777" w:rsidR="0050648B" w:rsidRPr="00CD2590" w:rsidRDefault="0050648B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19EB30C4" w:rsidR="0050648B" w:rsidRPr="00CD2590" w:rsidRDefault="004742F4" w:rsidP="003C4A8A">
            <w:pPr>
              <w:pStyle w:val="af4"/>
              <w:tabs>
                <w:tab w:val="left" w:pos="1440"/>
                <w:tab w:val="left" w:pos="2880"/>
              </w:tabs>
              <w:suppressAutoHyphens/>
              <w:ind w:left="70" w:right="211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>
              <w:rPr>
                <w:rFonts w:asciiTheme="majorHAnsi" w:eastAsia="Arial Unicode MS" w:hAnsiTheme="majorHAnsi" w:cs="TH SarabunPSK" w:hint="cs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19) </w:t>
            </w:r>
            <w:r w:rsidR="00C13CBD" w:rsidRPr="00CD2590">
              <w:rPr>
                <w:rFonts w:asciiTheme="majorHAnsi" w:eastAsia="Arial Unicode MS" w:hAnsiTheme="majorHAnsi" w:cs="TH SarabunPSK"/>
                <w:sz w:val="30"/>
                <w:szCs w:val="30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0D87A528" w:rsidR="0050648B" w:rsidRPr="00CD2590" w:rsidRDefault="00125C31" w:rsidP="003C4A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  <w:sz w:val="30"/>
                <w:szCs w:val="30"/>
              </w:rPr>
            </w:pPr>
            <w:r w:rsidRPr="00CD2590">
              <w:rPr>
                <w:rFonts w:asciiTheme="majorHAnsi" w:hAnsiTheme="majorHAnsi" w:cstheme="majorHAnsi" w:hint="cs"/>
                <w:sz w:val="30"/>
                <w:szCs w:val="30"/>
                <w:cs/>
              </w:rPr>
              <w:t>5</w:t>
            </w:r>
            <w:bookmarkStart w:id="0" w:name="_GoBack"/>
            <w:bookmarkEnd w:id="0"/>
          </w:p>
        </w:tc>
      </w:tr>
    </w:tbl>
    <w:p w14:paraId="1201C691" w14:textId="0389B083" w:rsidR="0050648B" w:rsidRPr="00C166A3" w:rsidRDefault="0050648B" w:rsidP="00CE5A32">
      <w:pPr>
        <w:pStyle w:val="a7"/>
        <w:rPr>
          <w:rFonts w:asciiTheme="majorHAnsi" w:hAnsiTheme="majorHAnsi" w:cstheme="majorHAnsi"/>
        </w:rPr>
      </w:pPr>
    </w:p>
    <w:sectPr w:rsidR="0050648B" w:rsidRPr="00C166A3">
      <w:headerReference w:type="default" r:id="rId8"/>
      <w:footerReference w:type="default" r:id="rId9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6A384" w14:textId="77777777" w:rsidR="00B12163" w:rsidRDefault="00B12163">
      <w:r>
        <w:separator/>
      </w:r>
    </w:p>
  </w:endnote>
  <w:endnote w:type="continuationSeparator" w:id="0">
    <w:p w14:paraId="7278A09D" w14:textId="77777777" w:rsidR="00B12163" w:rsidRDefault="00B1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F623" w14:textId="38BD8EBB"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F6438" w14:textId="77777777" w:rsidR="00B12163" w:rsidRDefault="00B12163">
      <w:r>
        <w:separator/>
      </w:r>
    </w:p>
  </w:footnote>
  <w:footnote w:type="continuationSeparator" w:id="0">
    <w:p w14:paraId="14F46C62" w14:textId="77777777" w:rsidR="00B12163" w:rsidRDefault="00B1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A65C" w14:textId="77777777" w:rsidR="0050648B" w:rsidRDefault="00C13CBD">
    <w:pPr>
      <w:pStyle w:val="a7"/>
      <w:jc w:val="right"/>
    </w:pPr>
    <w:r>
      <w:rPr>
        <w:rFonts w:cs="TH SarabunPSK"/>
        <w:color w:val="535353"/>
        <w:sz w:val="28"/>
        <w:szCs w:val="28"/>
        <w:cs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9936CE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6E186E"/>
    <w:multiLevelType w:val="hybridMultilevel"/>
    <w:tmpl w:val="BFF809CE"/>
    <w:numStyleLink w:val="a"/>
  </w:abstractNum>
  <w:abstractNum w:abstractNumId="2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3869E7"/>
    <w:multiLevelType w:val="hybridMultilevel"/>
    <w:tmpl w:val="3510117C"/>
    <w:lvl w:ilvl="0" w:tplc="FC1AFDB8">
      <w:start w:val="13"/>
      <w:numFmt w:val="decimal"/>
      <w:lvlText w:val="%1)"/>
      <w:lvlJc w:val="left"/>
      <w:pPr>
        <w:ind w:left="720" w:hanging="360"/>
      </w:pPr>
      <w:rPr>
        <w:rFonts w:eastAsia="Arial Unicode MS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CD482D"/>
    <w:multiLevelType w:val="hybridMultilevel"/>
    <w:tmpl w:val="ED8E080A"/>
    <w:numStyleLink w:val="3"/>
  </w:abstractNum>
  <w:abstractNum w:abstractNumId="6">
    <w:nsid w:val="27B45B34"/>
    <w:multiLevelType w:val="hybridMultilevel"/>
    <w:tmpl w:val="BB121456"/>
    <w:lvl w:ilvl="0" w:tplc="097418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25918F9"/>
    <w:multiLevelType w:val="hybridMultilevel"/>
    <w:tmpl w:val="1644A3E8"/>
    <w:numStyleLink w:val="a1"/>
  </w:abstractNum>
  <w:abstractNum w:abstractNumId="13">
    <w:nsid w:val="47B65979"/>
    <w:multiLevelType w:val="hybridMultilevel"/>
    <w:tmpl w:val="3820B632"/>
    <w:lvl w:ilvl="0" w:tplc="15EA0F8E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58FA"/>
    <w:multiLevelType w:val="hybridMultilevel"/>
    <w:tmpl w:val="8F321A32"/>
    <w:numStyleLink w:val="a0"/>
  </w:abstractNum>
  <w:abstractNum w:abstractNumId="15">
    <w:nsid w:val="5B9E13D9"/>
    <w:multiLevelType w:val="hybridMultilevel"/>
    <w:tmpl w:val="CB62FEF4"/>
    <w:lvl w:ilvl="0" w:tplc="E6F62F02">
      <w:start w:val="17"/>
      <w:numFmt w:val="decimal"/>
      <w:lvlText w:val="%1)"/>
      <w:lvlJc w:val="left"/>
      <w:pPr>
        <w:ind w:left="720" w:hanging="360"/>
      </w:pPr>
      <w:rPr>
        <w:rFonts w:eastAsia="Arial Unicode MS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6E866BF5"/>
    <w:multiLevelType w:val="hybridMultilevel"/>
    <w:tmpl w:val="205E2110"/>
    <w:numStyleLink w:val="14"/>
  </w:abstractNum>
  <w:abstractNum w:abstractNumId="20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006CDB"/>
    <w:multiLevelType w:val="hybridMultilevel"/>
    <w:tmpl w:val="421C90D8"/>
    <w:lvl w:ilvl="0" w:tplc="B39039F8">
      <w:start w:val="17"/>
      <w:numFmt w:val="decimal"/>
      <w:lvlText w:val="%1)"/>
      <w:lvlJc w:val="left"/>
      <w:pPr>
        <w:ind w:left="430" w:hanging="360"/>
      </w:pPr>
      <w:rPr>
        <w:rFonts w:eastAsia="Arial Unicode MS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 w:tplc="1750C1EA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6CEC4C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567CCE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E5F3C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12B034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2152C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E66AC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288878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F80F56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  <w:lvlOverride w:ilvl="0">
      <w:startOverride w:val="1"/>
      <w:lvl w:ilvl="0" w:tplc="1750C1EA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6CEC4C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567CCE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AE5F3C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12B034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12152C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AE66AC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288878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F80F56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</w:num>
  <w:num w:numId="6">
    <w:abstractNumId w:val="5"/>
  </w:num>
  <w:num w:numId="7">
    <w:abstractNumId w:val="14"/>
    <w:lvlOverride w:ilvl="0">
      <w:startOverride w:val="1"/>
      <w:lvl w:ilvl="0" w:tplc="1750C1EA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6CEC4C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567CCE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AE5F3C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12B034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12152C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AE66AC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1288878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F80F56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1"/>
  </w:num>
  <w:num w:numId="10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"/>
    <w:lvlOverride w:ilvl="0">
      <w:lvl w:ilvl="0" w:tplc="1750C1EA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6CEC4C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567CCE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E5F3C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12B034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2152C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E66AC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288878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F80F56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0">
      <w:lvl w:ilvl="0" w:tplc="1750C1EA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6CEC4C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567CCE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E5F3C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12B034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2152C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E66AC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288878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F80F56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339C50E8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4"/>
    <w:lvlOverride w:ilvl="0">
      <w:lvl w:ilvl="0" w:tplc="1750C1EA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6CEC4C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567CCE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AE5F3C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12B034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2152C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AE66AC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288878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F80F56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lvl w:ilvl="0" w:tplc="339C50E8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6E9E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8647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4CB2D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4C89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DCCE0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0E8E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6DBB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21ED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</w:num>
  <w:num w:numId="24">
    <w:abstractNumId w:val="16"/>
  </w:num>
  <w:num w:numId="25">
    <w:abstractNumId w:val="0"/>
  </w:num>
  <w:num w:numId="26">
    <w:abstractNumId w:val="22"/>
  </w:num>
  <w:num w:numId="27">
    <w:abstractNumId w:val="20"/>
  </w:num>
  <w:num w:numId="28">
    <w:abstractNumId w:val="19"/>
  </w:num>
  <w:num w:numId="29">
    <w:abstractNumId w:val="19"/>
    <w:lvlOverride w:ilvl="0">
      <w:startOverride w:val="5"/>
    </w:lvlOverride>
  </w:num>
  <w:num w:numId="30">
    <w:abstractNumId w:val="19"/>
    <w:lvlOverride w:ilvl="0">
      <w:lvl w:ilvl="0" w:tplc="775A2D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4299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7A4E6A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C455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966FB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F8CC54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46D0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5C46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1A5DAA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8"/>
  </w:num>
  <w:num w:numId="32">
    <w:abstractNumId w:val="12"/>
  </w:num>
  <w:num w:numId="33">
    <w:abstractNumId w:val="7"/>
  </w:num>
  <w:num w:numId="34">
    <w:abstractNumId w:val="10"/>
  </w:num>
  <w:num w:numId="35">
    <w:abstractNumId w:val="18"/>
  </w:num>
  <w:num w:numId="36">
    <w:abstractNumId w:val="9"/>
  </w:num>
  <w:num w:numId="37">
    <w:abstractNumId w:val="13"/>
  </w:num>
  <w:num w:numId="38">
    <w:abstractNumId w:val="6"/>
  </w:num>
  <w:num w:numId="39">
    <w:abstractNumId w:val="3"/>
  </w:num>
  <w:num w:numId="40">
    <w:abstractNumId w:val="1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8B"/>
    <w:rsid w:val="00051520"/>
    <w:rsid w:val="00125C31"/>
    <w:rsid w:val="001D2993"/>
    <w:rsid w:val="001F60E6"/>
    <w:rsid w:val="002436E4"/>
    <w:rsid w:val="002A118D"/>
    <w:rsid w:val="002A27BA"/>
    <w:rsid w:val="002B69C8"/>
    <w:rsid w:val="002E6965"/>
    <w:rsid w:val="00361FCE"/>
    <w:rsid w:val="00394C36"/>
    <w:rsid w:val="003953FB"/>
    <w:rsid w:val="003C4A8A"/>
    <w:rsid w:val="003E0A49"/>
    <w:rsid w:val="004742F4"/>
    <w:rsid w:val="004B1A6D"/>
    <w:rsid w:val="0050648B"/>
    <w:rsid w:val="00520C84"/>
    <w:rsid w:val="006B4DF8"/>
    <w:rsid w:val="006D06E6"/>
    <w:rsid w:val="008165FC"/>
    <w:rsid w:val="00826A96"/>
    <w:rsid w:val="008C7AD3"/>
    <w:rsid w:val="009936CE"/>
    <w:rsid w:val="00A74510"/>
    <w:rsid w:val="00B12163"/>
    <w:rsid w:val="00B1298A"/>
    <w:rsid w:val="00B1726A"/>
    <w:rsid w:val="00B56D7D"/>
    <w:rsid w:val="00C13CBD"/>
    <w:rsid w:val="00C166A3"/>
    <w:rsid w:val="00C344D8"/>
    <w:rsid w:val="00CD2590"/>
    <w:rsid w:val="00CE5A32"/>
    <w:rsid w:val="00D30308"/>
    <w:rsid w:val="00E77CE6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BestPc</dc:creator>
  <cp:lastModifiedBy>BestPc</cp:lastModifiedBy>
  <cp:revision>3</cp:revision>
  <dcterms:created xsi:type="dcterms:W3CDTF">2022-08-09T02:03:00Z</dcterms:created>
  <dcterms:modified xsi:type="dcterms:W3CDTF">2022-08-09T02:04:00Z</dcterms:modified>
</cp:coreProperties>
</file>