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5A" w:rsidRPr="0015076B" w:rsidRDefault="00605B5A" w:rsidP="00605B5A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605B5A" w:rsidRPr="0015076B" w:rsidRDefault="00605B5A" w:rsidP="00605B5A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605B5A" w:rsidRPr="00026E33" w:rsidRDefault="00605B5A" w:rsidP="00605B5A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605B5A" w:rsidRDefault="00605B5A" w:rsidP="00605B5A">
      <w:pPr>
        <w:ind w:left="1701" w:hanging="1701"/>
        <w:jc w:val="center"/>
        <w:rPr>
          <w:rFonts w:ascii="TH SarabunPSK" w:eastAsia="Calibri" w:hAnsi="TH SarabunPSK" w:cs="TH SarabunPSK"/>
          <w:b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/>
          <w:sz w:val="32"/>
          <w:szCs w:val="32"/>
        </w:rPr>
        <w:t xml:space="preserve">SP </w:t>
      </w:r>
      <w:r w:rsidRPr="0015076B">
        <w:rPr>
          <w:rFonts w:ascii="TH SarabunPSK" w:eastAsia="Calibri" w:hAnsi="TH SarabunPSK" w:cs="TH SarabunPSK" w:hint="cs"/>
          <w:sz w:val="32"/>
          <w:szCs w:val="32"/>
          <w:cs/>
        </w:rPr>
        <w:t>สาขาสุขภาพจิตและจิตเวช</w:t>
      </w:r>
    </w:p>
    <w:p w:rsidR="00605B5A" w:rsidRDefault="00605B5A" w:rsidP="00605B5A">
      <w:pPr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4B0145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4B0145">
        <w:rPr>
          <w:rFonts w:ascii="TH SarabunPSK" w:eastAsia="Calibri" w:hAnsi="TH SarabunPSK" w:cs="TH SarabunPSK"/>
          <w:bCs/>
          <w:sz w:val="32"/>
          <w:szCs w:val="32"/>
        </w:rPr>
        <w:t xml:space="preserve"> 19</w:t>
      </w:r>
      <w:r w:rsidRPr="004B0145">
        <w:rPr>
          <w:rFonts w:ascii="TH SarabunPSK" w:eastAsia="Calibri" w:hAnsi="TH SarabunPSK" w:cs="TH SarabunPSK" w:hint="cs"/>
          <w:bCs/>
          <w:sz w:val="32"/>
          <w:szCs w:val="32"/>
          <w:cs/>
        </w:rPr>
        <w:t>) อัตราการฆ่าตัวตายสำเร็จ</w:t>
      </w:r>
    </w:p>
    <w:p w:rsidR="00605B5A" w:rsidRDefault="00605B5A" w:rsidP="00594AE1">
      <w:pPr>
        <w:pStyle w:val="a7"/>
        <w:numPr>
          <w:ilvl w:val="0"/>
          <w:numId w:val="2"/>
        </w:numPr>
        <w:spacing w:before="0" w:beforeAutospacing="0" w:after="0" w:afterAutospacing="0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/สภาพปัญหา </w:t>
      </w:r>
    </w:p>
    <w:p w:rsidR="00605B5A" w:rsidRPr="008F765C" w:rsidRDefault="00605B5A" w:rsidP="00605B5A">
      <w:pPr>
        <w:pStyle w:val="a7"/>
        <w:tabs>
          <w:tab w:val="left" w:pos="567"/>
        </w:tabs>
        <w:spacing w:before="0" w:beforeAutospacing="0" w:after="0" w:afterAutospacing="0"/>
        <w:ind w:left="851"/>
        <w:rPr>
          <w:rFonts w:ascii="TH SarabunPSK" w:hAnsi="TH SarabunPSK" w:cs="TH SarabunPSK"/>
          <w:b/>
          <w:bCs/>
          <w:sz w:val="16"/>
          <w:szCs w:val="16"/>
        </w:rPr>
      </w:pPr>
    </w:p>
    <w:p w:rsidR="00605B5A" w:rsidRPr="00D75E52" w:rsidRDefault="00605B5A" w:rsidP="00605B5A">
      <w:pPr>
        <w:pStyle w:val="a7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38895BCD" wp14:editId="08939780">
            <wp:extent cx="5695950" cy="913130"/>
            <wp:effectExtent l="0" t="0" r="19050" b="20320"/>
            <wp:docPr id="2" name="แผนภูมิ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56909FFD-973F-4642-B7B5-1DFB3C0D39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5B5A" w:rsidRPr="00FC4460" w:rsidRDefault="00605B5A" w:rsidP="00605B5A">
      <w:pPr>
        <w:pStyle w:val="a7"/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sz w:val="20"/>
          <w:szCs w:val="20"/>
        </w:rPr>
      </w:pPr>
    </w:p>
    <w:p w:rsidR="00605B5A" w:rsidRPr="00D75E52" w:rsidRDefault="00605B5A" w:rsidP="00605B5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ab/>
        <w:t>อัตราการฆ่าตัวตายของจังหวัดแพร่ในปี 255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>9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F4D54">
        <w:rPr>
          <w:rFonts w:ascii="TH SarabunPSK" w:hAnsi="TH SarabunPSK" w:cs="TH SarabunPSK"/>
          <w:sz w:val="32"/>
          <w:szCs w:val="32"/>
          <w:cs/>
        </w:rPr>
        <w:t>25</w:t>
      </w:r>
      <w:r w:rsidRPr="008F4D54">
        <w:rPr>
          <w:rFonts w:ascii="TH SarabunPSK" w:hAnsi="TH SarabunPSK" w:cs="TH SarabunPSK"/>
          <w:bCs/>
          <w:sz w:val="32"/>
          <w:szCs w:val="32"/>
          <w:lang w:val="en-GB"/>
        </w:rPr>
        <w:t>6</w:t>
      </w:r>
      <w:r w:rsidRPr="008F4D54">
        <w:rPr>
          <w:rFonts w:ascii="TH SarabunPSK" w:hAnsi="TH SarabunPSK" w:cs="TH SarabunPSK"/>
          <w:sz w:val="32"/>
          <w:szCs w:val="32"/>
          <w:cs/>
          <w:lang w:val="en-GB"/>
        </w:rPr>
        <w:t>2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D75E52">
        <w:rPr>
          <w:rFonts w:ascii="TH SarabunPSK" w:hAnsi="TH SarabunPSK" w:cs="TH SarabunPSK"/>
          <w:sz w:val="32"/>
          <w:szCs w:val="32"/>
          <w:lang w:val="en-GB"/>
        </w:rPr>
        <w:t>1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>0</w:t>
      </w:r>
      <w:r w:rsidRPr="00D75E52">
        <w:rPr>
          <w:rFonts w:ascii="TH SarabunPSK" w:hAnsi="TH SarabunPSK" w:cs="TH SarabunPSK"/>
          <w:sz w:val="32"/>
          <w:szCs w:val="32"/>
          <w:lang w:val="en-GB"/>
        </w:rPr>
        <w:t>.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>2</w:t>
      </w:r>
      <w:r w:rsidRPr="00D75E52">
        <w:rPr>
          <w:rFonts w:ascii="TH SarabunPSK" w:hAnsi="TH SarabunPSK" w:cs="TH SarabunPSK"/>
          <w:sz w:val="32"/>
          <w:szCs w:val="32"/>
          <w:lang w:val="en-GB"/>
        </w:rPr>
        <w:t>,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 xml:space="preserve"> 17</w:t>
      </w:r>
      <w:r w:rsidRPr="00D75E52">
        <w:rPr>
          <w:rFonts w:ascii="TH SarabunPSK" w:hAnsi="TH SarabunPSK" w:cs="TH SarabunPSK"/>
          <w:sz w:val="32"/>
          <w:szCs w:val="32"/>
          <w:lang w:val="en-GB"/>
        </w:rPr>
        <w:t>.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 xml:space="preserve">38 </w:t>
      </w:r>
      <w:r w:rsidRPr="00D75E52">
        <w:rPr>
          <w:rFonts w:ascii="TH SarabunPSK" w:hAnsi="TH SarabunPSK" w:cs="TH SarabunPSK"/>
          <w:sz w:val="32"/>
          <w:szCs w:val="32"/>
          <w:lang w:val="en-GB"/>
        </w:rPr>
        <w:t>,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 xml:space="preserve">12.92 และ 5.34 </w:t>
      </w:r>
      <w:r w:rsidRPr="00D75E52">
        <w:rPr>
          <w:rFonts w:ascii="TH SarabunPSK" w:hAnsi="TH SarabunPSK" w:cs="TH SarabunPSK"/>
          <w:sz w:val="32"/>
          <w:szCs w:val="32"/>
          <w:cs/>
        </w:rPr>
        <w:t>ต่อประชากรแสนคน</w:t>
      </w:r>
      <w:r w:rsidRPr="00D75E52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 ปี2562 เวลา 4 เดือน </w:t>
      </w:r>
      <w:r w:rsidRPr="00D75E52">
        <w:rPr>
          <w:rFonts w:ascii="TH SarabunPSK" w:hAnsi="TH SarabunPSK" w:cs="TH SarabunPSK"/>
          <w:sz w:val="32"/>
          <w:szCs w:val="32"/>
          <w:cs/>
        </w:rPr>
        <w:t>ตามลำดับ ซึ่งมีแนวโน้มที่ลดลง แต่ยังสูงกว่าค่าเฉลี่ยระดับประเทศที่กำหนดไว้ 6.5 ต่อประชากรแสนคน และจากการสอบสวนโรคญาติผู้ฆ่าตัวตายสำเร็จส่วนใหญ่ไม่สามารถระบุปัญหาที่ชัดเจนได้ และมักเป็นจากการตัดสินใจเฉียบพลันไม่เคยมีประวัติโรคซึมเศร้ามาก่อน และไม่เคยรับบริการด้านจิตเวช และกระจาย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จังหวัดแพร่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ได้พยายามพัฒนางานการเฝ้าระวังและป้องกันปัญหาการฆ่าตัวตายในรูปแบบเครือข่ายมาอย่างต่อเนื่อง อัตราการฆ่าตัวตายสำเร็จปี </w:t>
      </w:r>
      <w:r w:rsidRPr="008F4D54">
        <w:rPr>
          <w:rFonts w:ascii="TH SarabunPSK" w:hAnsi="TH SarabunPSK" w:cs="TH SarabunPSK"/>
          <w:bCs/>
          <w:sz w:val="32"/>
          <w:szCs w:val="32"/>
        </w:rPr>
        <w:t>2561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ลดลงจากปี </w:t>
      </w:r>
      <w:r w:rsidRPr="008F4D54">
        <w:rPr>
          <w:rFonts w:ascii="TH SarabunPSK" w:hAnsi="TH SarabunPSK" w:cs="TH SarabunPSK"/>
          <w:bCs/>
          <w:sz w:val="32"/>
          <w:szCs w:val="32"/>
        </w:rPr>
        <w:t>2560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 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4D54">
        <w:rPr>
          <w:rFonts w:ascii="TH SarabunPSK" w:hAnsi="TH SarabunPSK" w:cs="TH SarabunPSK"/>
          <w:bCs/>
          <w:sz w:val="32"/>
          <w:szCs w:val="32"/>
        </w:rPr>
        <w:t>20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8F4D54">
        <w:rPr>
          <w:rFonts w:ascii="TH SarabunPSK" w:hAnsi="TH SarabunPSK" w:cs="TH SarabunPSK"/>
          <w:bCs/>
          <w:sz w:val="32"/>
          <w:szCs w:val="32"/>
        </w:rPr>
        <w:t>25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และในปี </w:t>
      </w:r>
      <w:r w:rsidRPr="008F4D54">
        <w:rPr>
          <w:rFonts w:ascii="TH SarabunPSK" w:hAnsi="TH SarabunPSK" w:cs="TH SarabunPSK"/>
          <w:bCs/>
          <w:sz w:val="32"/>
          <w:szCs w:val="32"/>
        </w:rPr>
        <w:t xml:space="preserve">2562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ก็มีแนวโน้มที่จะลดลง  มีการเพิ่มบุคลากรในพื้นที่เป้าหมาย เช่น ปี2560 อำเภอวังชิ้น มีอัตราการฆ่าตัวตายสำเร็จลดลงสูงสุด </w:t>
      </w:r>
      <w:r w:rsidRPr="008F4D54">
        <w:rPr>
          <w:rFonts w:ascii="TH SarabunPSK" w:hAnsi="TH SarabunPSK" w:cs="TH SarabunPSK"/>
          <w:bCs/>
          <w:sz w:val="32"/>
          <w:szCs w:val="32"/>
        </w:rPr>
        <w:t>16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คน (</w:t>
      </w:r>
      <w:r w:rsidRPr="008F4D54">
        <w:rPr>
          <w:rFonts w:ascii="TH SarabunPSK" w:hAnsi="TH SarabunPSK" w:cs="TH SarabunPSK"/>
          <w:bCs/>
          <w:sz w:val="32"/>
          <w:szCs w:val="32"/>
        </w:rPr>
        <w:t>34.56</w:t>
      </w:r>
      <w:r w:rsidRPr="008F4D54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ต่อประชากรแสนคน)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จึงมีการจ้างนักวิชาการให้ช่วยงาสนด้านสุขภาพจิตจิตเวชและยาเสพติดเพิ่มอีก 1 ตำแหน่ง จากเดิมมีเพียงพยาบาลจิตเวช 1 คน  ทำให้สามรถดำเนินงานติดตามเฝ้าระวังและป้องกันปัญหาการฆ่าตัวตายเชิงรุกในชุมชนได้มากขึ้น รวดเร็วขึ้น ซึงสัมพันธ์กับอัตราการฆ่าตัวตายที่ลดลงเหลือเหลือ </w:t>
      </w:r>
      <w:r w:rsidRPr="008F4D54">
        <w:rPr>
          <w:rFonts w:ascii="TH SarabunPSK" w:hAnsi="TH SarabunPSK" w:cs="TH SarabunPSK"/>
          <w:bCs/>
          <w:sz w:val="32"/>
          <w:szCs w:val="32"/>
        </w:rPr>
        <w:t>5</w:t>
      </w:r>
      <w:r w:rsidRPr="00D75E52"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คน (</w:t>
      </w:r>
      <w:r w:rsidRPr="008F4D54">
        <w:rPr>
          <w:rFonts w:ascii="TH SarabunPSK" w:hAnsi="TH SarabunPSK" w:cs="TH SarabunPSK"/>
          <w:bCs/>
          <w:sz w:val="32"/>
          <w:szCs w:val="32"/>
        </w:rPr>
        <w:t>10.7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ต่อประชากรแสนคน)  และเพิ่มอัตราการรับผู้ป่วยจิตเวชเป็นผู้ป่วยในนอนรักษาในโรงพยาบาลเพื่อบำบัดรักษาจนพ้นภาวะวิกฤติสุขภาพจิตมากขึ้น พร้อมทั้งได้รับการสนับสนุนงบประมาณรายหัวในการติดตามดูแลผู้ป่วยจิตเวชเรื้อรังในชุมชนเป็นรูปแบบเครือข่ายจากสำนักงานหลักประกันสุขภาพแห่งชาติ  นอกจากนี้จังหวัดแพร่ยังมี”สมาคมสายใยน้ำใจแพร่”ซึ่งเป็นองค์กรภาคประชาชนเครือข่ายจิตอาสาที่เข้มแข็งดำเนินกิจกรรมอบรมให้ความรู้โรคทางจิตเวช การดูแลฟื้นฟูสมรรถภาพผู้ป่วยจิตเวชและผู้พิการทางจิตในชุมชนมาอย่างต่อเนื่องตั้งแต่ ปี 2549 จนถึงปัจจุบัน ทำให้อัตราการฆ่าตัวตายของผู้ป่วยโรคจิตลดลง</w:t>
      </w:r>
    </w:p>
    <w:p w:rsidR="00605B5A" w:rsidRPr="00D75E52" w:rsidRDefault="00605B5A" w:rsidP="00605B5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5B5A" w:rsidRPr="00D75E52" w:rsidRDefault="00605B5A" w:rsidP="00594AE1">
      <w:pPr>
        <w:pStyle w:val="af0"/>
        <w:numPr>
          <w:ilvl w:val="0"/>
          <w:numId w:val="1"/>
        </w:numPr>
        <w:tabs>
          <w:tab w:val="left" w:pos="851"/>
        </w:tabs>
        <w:spacing w:line="240" w:lineRule="auto"/>
        <w:ind w:firstLine="207"/>
        <w:rPr>
          <w:rFonts w:ascii="TH SarabunPSK" w:eastAsia="Times New Roman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ของพื้นที่ ในปี 2562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eastAsia="Times New Roman" w:hAnsi="TH SarabunPSK" w:cs="TH SarabunPSK"/>
          <w:sz w:val="32"/>
          <w:szCs w:val="32"/>
        </w:rPr>
      </w:pPr>
      <w:r w:rsidRPr="00D75E52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 xml:space="preserve">- จัดกิจกรรมส่งเสริมสุขภาพจิตในกลุ่มเสี่ยงมากขึ้น เช่น </w:t>
      </w:r>
      <w:r w:rsidRPr="00D75E52">
        <w:rPr>
          <w:rFonts w:ascii="TH SarabunPSK" w:eastAsia="Times New Roman" w:hAnsi="TH SarabunPSK" w:cs="TH SarabunPSK"/>
          <w:color w:val="000000"/>
          <w:kern w:val="24"/>
          <w:sz w:val="32"/>
          <w:szCs w:val="32"/>
        </w:rPr>
        <w:t>“</w:t>
      </w:r>
      <w:r w:rsidRPr="00D75E52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โครงการผู้สูงวัย ไม่ล้ม ไม่ลืม ไม่ซึมเศร้า กินข้าวลำ</w:t>
      </w:r>
      <w:r w:rsidRPr="00D75E52">
        <w:rPr>
          <w:rFonts w:ascii="TH SarabunPSK" w:eastAsia="Times New Roman" w:hAnsi="TH SarabunPSK" w:cs="TH SarabunPSK"/>
          <w:color w:val="000000"/>
          <w:kern w:val="24"/>
          <w:sz w:val="32"/>
          <w:szCs w:val="32"/>
        </w:rPr>
        <w:t>”</w:t>
      </w:r>
    </w:p>
    <w:p w:rsidR="00605B5A" w:rsidRPr="00D75E52" w:rsidRDefault="00605B5A" w:rsidP="00605B5A">
      <w:pPr>
        <w:ind w:firstLine="851"/>
        <w:rPr>
          <w:rFonts w:ascii="TH SarabunPSK" w:hAnsi="TH SarabunPSK" w:cs="TH SarabunPSK"/>
          <w:color w:val="000000"/>
          <w:kern w:val="24"/>
          <w:sz w:val="32"/>
          <w:szCs w:val="32"/>
        </w:rPr>
      </w:pPr>
      <w:r w:rsidRPr="00D75E52">
        <w:rPr>
          <w:rFonts w:ascii="TH SarabunPSK" w:hAnsi="TH SarabunPSK" w:cs="TH SarabunPSK"/>
          <w:color w:val="000000"/>
          <w:kern w:val="24"/>
          <w:sz w:val="32"/>
          <w:szCs w:val="32"/>
        </w:rPr>
        <w:t xml:space="preserve">- </w:t>
      </w:r>
      <w:r w:rsidRPr="00D75E52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เพิ่มการเข้าถึงบริการผู้ป่วยจิตเวช ผู้ป่วยสุราและสารเสพติด</w:t>
      </w:r>
    </w:p>
    <w:p w:rsidR="00605B5A" w:rsidRPr="00D75E52" w:rsidRDefault="00605B5A" w:rsidP="00605B5A">
      <w:pPr>
        <w:ind w:left="180" w:firstLine="671"/>
        <w:jc w:val="thaiDistribute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- สร้างและขยายเครือข่ายจิตอาสาสุขภาพจิตและจิตเวชให้มากขึ้นทั้งในสถานศึกษา ในชุมชน และสถานประกอบการ ทั้งแบบเป็นทางการและไม่เป็นทางการ</w:t>
      </w:r>
    </w:p>
    <w:p w:rsidR="00605B5A" w:rsidRDefault="00605B5A" w:rsidP="00605B5A">
      <w:pPr>
        <w:ind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- ส่งเสริมและร่วมสนับสนุนกิจกรรมสร้างสรรค์ในสังคมที่เอื้อต่อการมีสุขภาพกายที่แข็งแรงและสุขภาพจิตที่เข้มแข็งมีคุณภาพชีวิตที่ดี กับทุกหน่วยงาน และทุกรูปแบบ</w:t>
      </w:r>
    </w:p>
    <w:p w:rsidR="00605B5A" w:rsidRDefault="00605B5A" w:rsidP="00605B5A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605B5A" w:rsidRPr="00D75E52" w:rsidRDefault="00605B5A" w:rsidP="00605B5A">
      <w:pPr>
        <w:ind w:firstLine="851"/>
        <w:rPr>
          <w:rFonts w:ascii="TH SarabunPSK" w:hAnsi="TH SarabunPSK" w:cs="TH SarabunPSK" w:hint="cs"/>
          <w:sz w:val="32"/>
          <w:szCs w:val="32"/>
        </w:rPr>
      </w:pPr>
    </w:p>
    <w:p w:rsidR="00605B5A" w:rsidRPr="00D75E52" w:rsidRDefault="00605B5A" w:rsidP="00594AE1">
      <w:pPr>
        <w:pStyle w:val="af0"/>
        <w:numPr>
          <w:ilvl w:val="0"/>
          <w:numId w:val="2"/>
        </w:numPr>
        <w:tabs>
          <w:tab w:val="left" w:pos="360"/>
        </w:tabs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D75E52">
        <w:rPr>
          <w:rFonts w:ascii="TH SarabunPSK" w:hAnsi="TH SarabunPSK" w:cs="TH SarabunPSK"/>
          <w:b/>
          <w:bCs/>
          <w:sz w:val="32"/>
          <w:szCs w:val="32"/>
        </w:rPr>
        <w:t>Essential Task)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1785"/>
        <w:gridCol w:w="1699"/>
        <w:gridCol w:w="1750"/>
        <w:gridCol w:w="1749"/>
      </w:tblGrid>
      <w:tr w:rsidR="00605B5A" w:rsidRPr="008F765C" w:rsidTr="00E14E60">
        <w:tc>
          <w:tcPr>
            <w:tcW w:w="2471" w:type="dxa"/>
          </w:tcPr>
          <w:p w:rsidR="00605B5A" w:rsidRPr="008F765C" w:rsidRDefault="00605B5A" w:rsidP="00E14E60">
            <w:pPr>
              <w:pStyle w:val="af0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765C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883" w:type="dxa"/>
          </w:tcPr>
          <w:p w:rsidR="00605B5A" w:rsidRPr="008F765C" w:rsidRDefault="00605B5A" w:rsidP="00E14E60">
            <w:pPr>
              <w:pStyle w:val="af0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3 เดือน</w:t>
            </w:r>
          </w:p>
        </w:tc>
        <w:tc>
          <w:tcPr>
            <w:tcW w:w="1835" w:type="dxa"/>
          </w:tcPr>
          <w:p w:rsidR="00605B5A" w:rsidRPr="008F765C" w:rsidRDefault="00605B5A" w:rsidP="00E14E60">
            <w:pPr>
              <w:pStyle w:val="af0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863" w:type="dxa"/>
          </w:tcPr>
          <w:p w:rsidR="00605B5A" w:rsidRPr="008F765C" w:rsidRDefault="00605B5A" w:rsidP="00E14E60">
            <w:pPr>
              <w:pStyle w:val="af0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66" w:type="dxa"/>
          </w:tcPr>
          <w:p w:rsidR="00605B5A" w:rsidRPr="008F765C" w:rsidRDefault="00605B5A" w:rsidP="00E14E60">
            <w:pPr>
              <w:pStyle w:val="af0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605B5A" w:rsidRPr="00D75E52" w:rsidTr="00E14E60">
        <w:tc>
          <w:tcPr>
            <w:tcW w:w="2471" w:type="dxa"/>
          </w:tcPr>
          <w:p w:rsidR="00605B5A" w:rsidRPr="00D75E52" w:rsidRDefault="00605B5A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1. เพิ่มการเข้าถึงบริการโรคจิต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ผลการดำเนินงาน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- ผู้ป่วยโรคจิตเข้าถึงบริการร้อยละ 92</w:t>
            </w:r>
          </w:p>
          <w:p w:rsidR="00605B5A" w:rsidRPr="00D75E52" w:rsidRDefault="00605B5A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2. เพิ่มการเข้าถึงบริการโรคซึมเศร้า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ผลการดำเนินงาน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-ผู้ป่วยซึมเศร้าเข้าถึงบริการร้อยละ 73</w:t>
            </w:r>
          </w:p>
          <w:p w:rsidR="00605B5A" w:rsidRPr="00D75E52" w:rsidRDefault="00605B5A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3. เพิ่มการเข้าถึงบริการผู้ป่วยสุรา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ผลการดำเนินงาน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-ผู้ป่วยสุราเข้าถึงบริการร้อยละ 3.8</w:t>
            </w:r>
          </w:p>
        </w:tc>
        <w:tc>
          <w:tcPr>
            <w:tcW w:w="1883" w:type="dxa"/>
          </w:tcPr>
          <w:p w:rsidR="00605B5A" w:rsidRPr="00D75E52" w:rsidRDefault="00605B5A" w:rsidP="00E14E60">
            <w:pPr>
              <w:pStyle w:val="af0"/>
              <w:ind w:left="105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จัดบริการเฝ้าระวัง บำบัดรักษาและประเมินปัญหาสุขภาพจิต-จิตเวช ระบบเครือข่าย จิตอาสา รพ.สต.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รพท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. และ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องค์กรภายนอก เช่น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พมจ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:rsidR="00605B5A" w:rsidRPr="00D75E52" w:rsidRDefault="00605B5A" w:rsidP="00E14E60">
            <w:pPr>
              <w:pStyle w:val="af0"/>
              <w:ind w:left="98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ติดตามผู้ป่วยจิตเวชเรื้อรังด้วยระบบเครือข่ายในชุมชน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5" w:type="dxa"/>
          </w:tcPr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C446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ลงพื้นที่เป้าหมาย เพื่อสืบค้นข้อมูลปัญหาที่นำสู่การฆ่าตัวตาย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-ปรับทัศนคติ ความเข้าใจของชุมชนต่อปัญหาการฆ่าตัวตาย 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อบรม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แกนนำ </w:t>
            </w:r>
            <w:proofErr w:type="spellStart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ม. ผู้สูงอายุ วัยรุ่น และวัยทำงาน เน้นเรื่อง “ผู้สูงวัย ไม่ล้ม ไม่ลืม ไม่ซึมเศร้า กินข้าวอร่อย”</w:t>
            </w:r>
          </w:p>
        </w:tc>
        <w:tc>
          <w:tcPr>
            <w:tcW w:w="1863" w:type="dxa"/>
          </w:tcPr>
          <w:p w:rsidR="00605B5A" w:rsidRPr="002C619C" w:rsidRDefault="00605B5A" w:rsidP="00E14E60">
            <w:pPr>
              <w:pStyle w:val="af0"/>
              <w:tabs>
                <w:tab w:val="left" w:pos="360"/>
              </w:tabs>
              <w:ind w:left="2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C44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C619C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ติดตามการดำเนินงานร่วมกับเครือข่ายอย่างต่อเนื่อง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-ปรับเปลี่ยนวิธีการแก้ปัญหาที่ยังมีอยู่ในพื้นที่เป้าหมาย</w:t>
            </w:r>
          </w:p>
          <w:p w:rsidR="00605B5A" w:rsidRPr="00D75E52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6" w:type="dxa"/>
          </w:tcPr>
          <w:p w:rsidR="00605B5A" w:rsidRPr="002C619C" w:rsidRDefault="00605B5A" w:rsidP="00E14E60">
            <w:pPr>
              <w:pStyle w:val="af0"/>
              <w:tabs>
                <w:tab w:val="left" w:pos="360"/>
              </w:tabs>
              <w:ind w:left="5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C619C">
              <w:rPr>
                <w:rFonts w:ascii="TH SarabunPSK" w:hAnsi="TH SarabunPSK" w:cs="TH SarabunPSK"/>
                <w:sz w:val="32"/>
                <w:szCs w:val="32"/>
                <w:cs/>
              </w:rPr>
              <w:t>นำปัญหาที่พบมาปรับปรุงพัฒนาการทำงาน</w:t>
            </w:r>
          </w:p>
          <w:p w:rsidR="00605B5A" w:rsidRPr="002C619C" w:rsidRDefault="00605B5A" w:rsidP="00E14E60">
            <w:pPr>
              <w:pStyle w:val="af0"/>
              <w:tabs>
                <w:tab w:val="left" w:pos="360"/>
              </w:tabs>
              <w:ind w:left="5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C619C">
              <w:rPr>
                <w:rFonts w:ascii="TH SarabunPSK" w:hAnsi="TH SarabunPSK" w:cs="TH SarabunPSK"/>
                <w:sz w:val="32"/>
                <w:szCs w:val="32"/>
                <w:cs/>
              </w:rPr>
              <w:t>ร่วมหารือแนวทางดำเนินการต่อไป</w:t>
            </w:r>
          </w:p>
          <w:p w:rsidR="00605B5A" w:rsidRPr="002C619C" w:rsidRDefault="00605B5A" w:rsidP="00E14E60">
            <w:pPr>
              <w:pStyle w:val="af0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605B5A" w:rsidRPr="00D75E52" w:rsidRDefault="00605B5A" w:rsidP="00605B5A">
      <w:pPr>
        <w:pStyle w:val="af0"/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05B5A" w:rsidRDefault="00605B5A" w:rsidP="00605B5A">
      <w:pPr>
        <w:pStyle w:val="af0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05B5A" w:rsidRDefault="00605B5A" w:rsidP="00605B5A">
      <w:pPr>
        <w:pStyle w:val="af0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05B5A" w:rsidRPr="00D75E52" w:rsidRDefault="00605B5A" w:rsidP="00605B5A">
      <w:pPr>
        <w:pStyle w:val="af0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05B5A" w:rsidRPr="00D75E52" w:rsidRDefault="00605B5A" w:rsidP="00594AE1">
      <w:pPr>
        <w:pStyle w:val="af0"/>
        <w:numPr>
          <w:ilvl w:val="0"/>
          <w:numId w:val="2"/>
        </w:numPr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ผลการดำเนินงานตามตัวชี้วัดผลสำเร็จ 1 ตุลาคม 2561-27 กุมภาพันธ์ 2562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311"/>
        <w:gridCol w:w="1598"/>
        <w:gridCol w:w="741"/>
        <w:gridCol w:w="732"/>
        <w:gridCol w:w="662"/>
        <w:gridCol w:w="661"/>
        <w:gridCol w:w="661"/>
        <w:gridCol w:w="676"/>
        <w:gridCol w:w="731"/>
        <w:gridCol w:w="809"/>
        <w:gridCol w:w="654"/>
      </w:tblGrid>
      <w:tr w:rsidR="00605B5A" w:rsidRPr="00D75E52" w:rsidTr="00E14E60">
        <w:trPr>
          <w:tblHeader/>
        </w:trPr>
        <w:tc>
          <w:tcPr>
            <w:tcW w:w="3298" w:type="dxa"/>
            <w:gridSpan w:val="2"/>
            <w:vMerge w:val="restart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6486" w:type="dxa"/>
            <w:gridSpan w:val="9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สอ.</w:t>
            </w:r>
          </w:p>
        </w:tc>
      </w:tr>
      <w:tr w:rsidR="00605B5A" w:rsidRPr="00D75E52" w:rsidTr="00E14E60">
        <w:trPr>
          <w:trHeight w:val="316"/>
          <w:tblHeader/>
        </w:trPr>
        <w:tc>
          <w:tcPr>
            <w:tcW w:w="3298" w:type="dxa"/>
            <w:gridSpan w:val="2"/>
            <w:vMerge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4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</w:t>
            </w:r>
          </w:p>
        </w:tc>
        <w:tc>
          <w:tcPr>
            <w:tcW w:w="732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สูงเม่น</w:t>
            </w:r>
          </w:p>
        </w:tc>
        <w:tc>
          <w:tcPr>
            <w:tcW w:w="677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เด่นชัย</w:t>
            </w:r>
          </w:p>
        </w:tc>
        <w:tc>
          <w:tcPr>
            <w:tcW w:w="676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ลอง</w:t>
            </w:r>
          </w:p>
        </w:tc>
        <w:tc>
          <w:tcPr>
            <w:tcW w:w="676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วังชิ้น</w:t>
            </w:r>
          </w:p>
        </w:tc>
        <w:tc>
          <w:tcPr>
            <w:tcW w:w="677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769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สอง</w:t>
            </w:r>
          </w:p>
        </w:tc>
        <w:tc>
          <w:tcPr>
            <w:tcW w:w="838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667" w:type="dxa"/>
            <w:vAlign w:val="center"/>
          </w:tcPr>
          <w:p w:rsidR="00605B5A" w:rsidRPr="008F765C" w:rsidRDefault="00605B5A" w:rsidP="00E14E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5B5A" w:rsidRPr="00D75E52" w:rsidTr="00E14E60">
        <w:tc>
          <w:tcPr>
            <w:tcW w:w="1507" w:type="dxa"/>
            <w:vMerge w:val="restart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การฆ่าตัวตายสำเร็จ</w:t>
            </w:r>
          </w:p>
        </w:tc>
        <w:tc>
          <w:tcPr>
            <w:tcW w:w="1791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774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32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7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6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6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69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38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6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05B5A" w:rsidRPr="00D75E52" w:rsidTr="00E14E60">
        <w:tc>
          <w:tcPr>
            <w:tcW w:w="1507" w:type="dxa"/>
            <w:vMerge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อัตราต่อประชากรแสนคน</w:t>
            </w:r>
          </w:p>
        </w:tc>
        <w:tc>
          <w:tcPr>
            <w:tcW w:w="774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5.90</w:t>
            </w:r>
          </w:p>
        </w:tc>
        <w:tc>
          <w:tcPr>
            <w:tcW w:w="732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11.89</w:t>
            </w:r>
          </w:p>
        </w:tc>
        <w:tc>
          <w:tcPr>
            <w:tcW w:w="67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2.78</w:t>
            </w:r>
          </w:p>
        </w:tc>
        <w:tc>
          <w:tcPr>
            <w:tcW w:w="676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9.09</w:t>
            </w:r>
          </w:p>
        </w:tc>
        <w:tc>
          <w:tcPr>
            <w:tcW w:w="676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4.32</w:t>
            </w:r>
          </w:p>
        </w:tc>
        <w:tc>
          <w:tcPr>
            <w:tcW w:w="67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2.03</w:t>
            </w:r>
          </w:p>
        </w:tc>
        <w:tc>
          <w:tcPr>
            <w:tcW w:w="769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3.98</w:t>
            </w:r>
          </w:p>
        </w:tc>
        <w:tc>
          <w:tcPr>
            <w:tcW w:w="838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667" w:type="dxa"/>
          </w:tcPr>
          <w:p w:rsidR="00605B5A" w:rsidRPr="00D75E52" w:rsidRDefault="00605B5A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E52">
              <w:rPr>
                <w:rFonts w:ascii="TH SarabunPSK" w:hAnsi="TH SarabunPSK" w:cs="TH SarabunPSK"/>
                <w:sz w:val="32"/>
                <w:szCs w:val="32"/>
                <w:cs/>
              </w:rPr>
              <w:t>5.57</w:t>
            </w:r>
          </w:p>
        </w:tc>
      </w:tr>
    </w:tbl>
    <w:p w:rsidR="00605B5A" w:rsidRDefault="00605B5A" w:rsidP="00605B5A">
      <w:pPr>
        <w:pStyle w:val="af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5B5A" w:rsidRDefault="00605B5A" w:rsidP="00605B5A">
      <w:pPr>
        <w:pStyle w:val="af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5B5A" w:rsidRPr="00D75E52" w:rsidRDefault="00605B5A" w:rsidP="00605B5A">
      <w:pPr>
        <w:pStyle w:val="af0"/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605B5A" w:rsidRPr="008F765C" w:rsidRDefault="00605B5A" w:rsidP="00594AE1">
      <w:pPr>
        <w:pStyle w:val="af0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8F76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ประเด็นสำคัญที่เป็นความเสี่ยงต่อการทำให้การขับเคลื่อนโยบายหรือการดำเนินงานไม่ประสบผลสำเร็จ ซึ่งได้จากการวิจัย ประมวล วิเคราะห์ สังเคราะห์ จากการตรวจติดตาม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จังหวัดแพร่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ได้ดำเนินการเฝ้าระวังและป้องกันปัญหาการฆ่าตัวตายอย่างเข้มข้นมาตั้งแต่ปี 2549 มีการสอบสวนปัจจัยที่ส่งผลต่อการฆ่าตัวตายอย่าละเอียดในผู้ป่วยฆ่าตัวตายสำเร็จและพยายามฆ่าตัวตาย อีกทั้งรณรงค์ให้ความรู้แก่เครือข่ายทั้งภายในและภายนอกกระทรวงสาธารณสุข ได้รับความร่วมมือและงบประมาณสนับสนุนการดำเนินงานจากองค์กรปกครองส่วนท้องถิ่น </w:t>
      </w:r>
      <w:proofErr w:type="spellStart"/>
      <w:r w:rsidRPr="00D75E52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Pr="00D75E5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D75E52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D75E5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75E5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75E52">
        <w:rPr>
          <w:rFonts w:ascii="TH SarabunPSK" w:hAnsi="TH SarabunPSK" w:cs="TH SarabunPSK"/>
          <w:sz w:val="32"/>
          <w:szCs w:val="32"/>
          <w:cs/>
        </w:rPr>
        <w:t>. และกระทรวงพัฒนาสังคมและความมั่นคงของมนุษย์</w:t>
      </w:r>
      <w:proofErr w:type="spellStart"/>
      <w:r w:rsidRPr="00D75E5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75E52">
        <w:rPr>
          <w:rFonts w:ascii="TH SarabunPSK" w:hAnsi="TH SarabunPSK" w:cs="TH SarabunPSK"/>
          <w:sz w:val="32"/>
          <w:szCs w:val="32"/>
          <w:cs/>
        </w:rPr>
        <w:t>การเข้าไปในงานดูแลผู้ป่วยโรคจิต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สาเหตุการฆ่าตัวตายที่คาดเดาได้เกิดจาก พื้นฐานด้านจิตใจของผู้ป่วยเป็นสำคัญ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ผู้ฆ่าตัวตายส่วนใหญ่เป็นวัยผู้ใหญ่ สถานภาพสมรส มีการเจ็บป่วยด้วยโรคเรื้อรังไม่ติดต่อร่วมด้วย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ร้อยละ 11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สาเหตุอื่นๆ กระจายไปทุกๆ สาเหตุ เช่น  ผิดหวังความรัก น้อยใจ ถูกดุด่า ปัญหายากจน ตกงาน และปัญหาความสัมพันธ์ในครอบครัว เป็นต้น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 xml:space="preserve">4. โรคจิตโรคซึมเศร้าเป็นสาเหตุหนึ่งของการฆ่าตัวตาย แต่เฉลี่ยพบเพียงร้อยละ 5 </w:t>
      </w:r>
    </w:p>
    <w:p w:rsidR="00605B5A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E52">
        <w:rPr>
          <w:rFonts w:ascii="TH SarabunPSK" w:hAnsi="TH SarabunPSK" w:cs="TH SarabunPSK"/>
          <w:sz w:val="32"/>
          <w:szCs w:val="32"/>
          <w:cs/>
        </w:rPr>
        <w:t>ผู้ฆ่าตัวตายสำเร็จร้อยละ 85 ไม่เคยเข้ารับบริการด้านสุขภาพจิต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</w:p>
    <w:p w:rsidR="00605B5A" w:rsidRPr="008F765C" w:rsidRDefault="00605B5A" w:rsidP="00594AE1">
      <w:pPr>
        <w:pStyle w:val="af0"/>
        <w:numPr>
          <w:ilvl w:val="0"/>
          <w:numId w:val="2"/>
        </w:numPr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F765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 และข้อเสนอแนะ</w:t>
      </w:r>
    </w:p>
    <w:p w:rsidR="00605B5A" w:rsidRPr="00CC12BF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CC12BF">
        <w:rPr>
          <w:rFonts w:ascii="TH SarabunPSK" w:hAnsi="TH SarabunPSK" w:cs="TH SarabunPSK"/>
          <w:sz w:val="32"/>
          <w:szCs w:val="32"/>
          <w:cs/>
        </w:rPr>
        <w:t>- ผู้มีปัญหาสุขภาพจิตไม่ได้รับการคัดกรองและเฝ้าระวังปัญหาทางจิตเวชที่เสี่ยงต่อการทำร้ายตัวเอง</w:t>
      </w:r>
    </w:p>
    <w:p w:rsidR="00605B5A" w:rsidRPr="00CC12BF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CC12BF">
        <w:rPr>
          <w:rFonts w:ascii="TH SarabunPSK" w:hAnsi="TH SarabunPSK" w:cs="TH SarabunPSK"/>
          <w:sz w:val="32"/>
          <w:szCs w:val="32"/>
          <w:cs/>
        </w:rPr>
        <w:t>- กรอบอัตรากำลังบุคลากรด้านสุขภาพจิตและจิตเวชไม่สมดุลกับภาระงาน</w:t>
      </w:r>
      <w:r w:rsidRPr="00CC12BF">
        <w:rPr>
          <w:rFonts w:ascii="TH SarabunPSK" w:hAnsi="TH SarabunPSK" w:cs="TH SarabunPSK"/>
          <w:sz w:val="32"/>
          <w:szCs w:val="32"/>
        </w:rPr>
        <w:t xml:space="preserve"> </w:t>
      </w:r>
    </w:p>
    <w:p w:rsidR="00605B5A" w:rsidRPr="00CC12BF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CC12BF">
        <w:rPr>
          <w:rFonts w:ascii="TH SarabunPSK" w:hAnsi="TH SarabunPSK" w:cs="TH SarabunPSK"/>
          <w:sz w:val="32"/>
          <w:szCs w:val="32"/>
          <w:cs/>
        </w:rPr>
        <w:t>- ไม่สามารถควบคุมปัจจัยที่นำสู่การฆ่าตัวตายได้ครอบคลุม</w:t>
      </w:r>
      <w:r w:rsidRPr="00CC12BF">
        <w:rPr>
          <w:rFonts w:ascii="TH SarabunPSK" w:hAnsi="TH SarabunPSK" w:cs="TH SarabunPSK"/>
          <w:sz w:val="32"/>
          <w:szCs w:val="32"/>
        </w:rPr>
        <w:t xml:space="preserve"> </w:t>
      </w:r>
      <w:r w:rsidRPr="00CC12BF">
        <w:rPr>
          <w:rFonts w:ascii="TH SarabunPSK" w:hAnsi="TH SarabunPSK" w:cs="TH SarabunPSK"/>
          <w:sz w:val="32"/>
          <w:szCs w:val="32"/>
          <w:cs/>
        </w:rPr>
        <w:t xml:space="preserve">เนื่องจากปัญหาการฆ่าตัวตายกระจาย และผู้ที่ประสบปัญหาเดียวกันก็ไม่ได้ฆ่าตัวตายเหมือนกัน จึงเป็นการยากในการเฝ้าระวังให้ทั่วถึง </w:t>
      </w:r>
    </w:p>
    <w:p w:rsidR="00605B5A" w:rsidRPr="00D75E52" w:rsidRDefault="00605B5A" w:rsidP="00605B5A">
      <w:pPr>
        <w:pStyle w:val="af0"/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5B5A" w:rsidRPr="00D75E52" w:rsidRDefault="00605B5A" w:rsidP="00594AE1">
      <w:pPr>
        <w:pStyle w:val="af0"/>
        <w:numPr>
          <w:ilvl w:val="0"/>
          <w:numId w:val="2"/>
        </w:numPr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5E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ข้อเสนอแนะต่อนโยบาย/ต่อส่วนกลาง/ต่อผู้บริหาร/ต่อระเบียบ/ต่อกฎหมาย</w:t>
      </w:r>
    </w:p>
    <w:p w:rsidR="00605B5A" w:rsidRPr="00D75E52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 xml:space="preserve">กำหนดนโยบายให้เป็นหน้าที่ของประชาชนทุกคนในการเฝ้าระวังดูแลสุขภาพจิตของตัวเองและคนใกล้ชิดเพราะประชาชนทุกคนมีความเสี่ยงต่อการมีปัญหาด้านสุขภาพจิตและจิตเวชที่นำไปสูการฆ่าตัวตาย </w:t>
      </w:r>
    </w:p>
    <w:p w:rsidR="00605B5A" w:rsidRPr="00D75E52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บุคลากรทางการแพทย์ทุกคนทุกแผนกบริการควรมีส่วนร่วมในการเฝ้าระวังและส่งต่อให้ผู้ป่วยได้รับการช่วยเหลืออย่างเป็นระบบ</w:t>
      </w:r>
    </w:p>
    <w:p w:rsidR="00605B5A" w:rsidRPr="00D75E52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 xml:space="preserve">บุคลาการหน่วยงานสุขภาพจิตและจิตเวชเป็นผู้บำบัดรักษาติดตามดูแลต่อเนื่อง </w:t>
      </w:r>
    </w:p>
    <w:p w:rsidR="00605B5A" w:rsidRPr="00D75E52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กรอบอัตรากำลังด้านสุขภาพจิตและจิตเวชไม่ควรมีความยืดหยุ่น</w:t>
      </w:r>
    </w:p>
    <w:p w:rsidR="00605B5A" w:rsidRPr="00CC12BF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C12BF">
        <w:rPr>
          <w:rFonts w:ascii="TH SarabunPSK" w:hAnsi="TH SarabunPSK" w:cs="TH SarabunPSK"/>
          <w:sz w:val="32"/>
          <w:szCs w:val="32"/>
          <w:cs/>
        </w:rPr>
        <w:t>กรอบอัตรากำลังควรให้บุคลากรผู้ปฏิบัติงานในพื้นที่เข้ามีส่วนร่วมในการพิจารณากำหนดอัตรากำลัง</w:t>
      </w:r>
      <w:r w:rsidRPr="00CC12BF">
        <w:rPr>
          <w:rFonts w:ascii="TH SarabunPSK" w:hAnsi="TH SarabunPSK" w:cs="TH SarabunPSK"/>
          <w:sz w:val="32"/>
          <w:szCs w:val="32"/>
        </w:rPr>
        <w:t xml:space="preserve"> </w:t>
      </w:r>
      <w:r w:rsidRPr="00CC12BF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Pr="00CC1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2BF">
        <w:rPr>
          <w:rFonts w:ascii="TH SarabunPSK" w:hAnsi="TH SarabunPSK" w:cs="TH SarabunPSK"/>
          <w:sz w:val="32"/>
          <w:szCs w:val="32"/>
          <w:cs/>
        </w:rPr>
        <w:t>งานบริการสุขภาพด้านสุขภาพจิตและจิตเวชเป็นงานที่ขึ้นกับบริบทของพื้นที่ ทั้งประชากร สถานบริการ ภูมิลำเนา การคมนาคม สภาพสังคม เศรษฐกิจ การประกอบอาชีพ และปัจจัยทางสังคมวัฒนธรรมอื่นๆ</w:t>
      </w:r>
      <w:r w:rsidRPr="00CC12BF">
        <w:rPr>
          <w:rFonts w:ascii="TH SarabunPSK" w:hAnsi="TH SarabunPSK" w:cs="TH SarabunPSK"/>
          <w:sz w:val="32"/>
          <w:szCs w:val="32"/>
        </w:rPr>
        <w:t xml:space="preserve"> </w:t>
      </w:r>
      <w:r w:rsidRPr="00CC12BF">
        <w:rPr>
          <w:rFonts w:ascii="TH SarabunPSK" w:hAnsi="TH SarabunPSK" w:cs="TH SarabunPSK"/>
          <w:sz w:val="32"/>
          <w:szCs w:val="32"/>
          <w:cs/>
        </w:rPr>
        <w:t>ซึ่งโรงพยาบาลแต่ละแห่งอาจมีลักษณะงานแตกต่างกัน</w:t>
      </w:r>
    </w:p>
    <w:p w:rsidR="00605B5A" w:rsidRPr="00D75E52" w:rsidRDefault="00605B5A" w:rsidP="00594AE1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ผู้ให้บริการสุขภาพสาขาสุขภาพจิตและจิตเวชควรมีความก้าวหน้าในงานเทียบเท่ากับสาขา</w:t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D75E52">
        <w:rPr>
          <w:rFonts w:ascii="TH SarabunPSK" w:hAnsi="TH SarabunPSK" w:cs="TH SarabunPSK"/>
          <w:sz w:val="32"/>
          <w:szCs w:val="32"/>
          <w:cs/>
        </w:rPr>
        <w:t>ๆ</w:t>
      </w:r>
    </w:p>
    <w:p w:rsidR="00605B5A" w:rsidRPr="00D75E52" w:rsidRDefault="00605B5A" w:rsidP="00605B5A">
      <w:pPr>
        <w:jc w:val="right"/>
        <w:rPr>
          <w:rFonts w:ascii="TH SarabunPSK" w:hAnsi="TH SarabunPSK" w:cs="TH SarabunPSK"/>
          <w:sz w:val="32"/>
          <w:szCs w:val="32"/>
        </w:rPr>
      </w:pPr>
    </w:p>
    <w:p w:rsidR="00605B5A" w:rsidRPr="00D75E52" w:rsidRDefault="00605B5A" w:rsidP="00605B5A">
      <w:pPr>
        <w:ind w:firstLine="4680"/>
        <w:jc w:val="right"/>
        <w:rPr>
          <w:rFonts w:ascii="TH SarabunPSK" w:hAnsi="TH SarabunPSK" w:cs="TH SarabunPSK"/>
          <w:sz w:val="32"/>
          <w:szCs w:val="32"/>
        </w:rPr>
      </w:pPr>
      <w:r w:rsidRPr="00D75E52">
        <w:rPr>
          <w:rFonts w:ascii="TH SarabunPSK" w:hAnsi="TH SarabunPSK" w:cs="TH SarabunPSK"/>
          <w:sz w:val="32"/>
          <w:szCs w:val="32"/>
          <w:cs/>
        </w:rPr>
        <w:t>ผู้รายงาน  นางเริงจิตร ตุ้ยดง</w:t>
      </w:r>
    </w:p>
    <w:p w:rsidR="00605B5A" w:rsidRPr="002C619C" w:rsidRDefault="00605B5A" w:rsidP="00605B5A">
      <w:pPr>
        <w:ind w:firstLine="4680"/>
        <w:jc w:val="right"/>
        <w:rPr>
          <w:rFonts w:ascii="TH SarabunPSK" w:hAnsi="TH SarabunPSK" w:cs="TH SarabunPSK"/>
          <w:sz w:val="32"/>
          <w:szCs w:val="32"/>
        </w:rPr>
      </w:pPr>
      <w:r w:rsidRPr="002C619C">
        <w:rPr>
          <w:rFonts w:ascii="TH SarabunPSK" w:hAnsi="TH SarabunPSK" w:cs="TH SarabunPSK"/>
          <w:sz w:val="32"/>
          <w:szCs w:val="32"/>
          <w:cs/>
        </w:rPr>
        <w:t>ตำแหน่ง พยาบาลวิชาชีพชำนายการ</w:t>
      </w:r>
    </w:p>
    <w:p w:rsidR="00605B5A" w:rsidRPr="002C619C" w:rsidRDefault="00605B5A" w:rsidP="00605B5A">
      <w:pPr>
        <w:ind w:firstLine="459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C619C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2C619C">
        <w:rPr>
          <w:rFonts w:ascii="TH SarabunPSK" w:hAnsi="TH SarabunPSK" w:cs="TH SarabunPSK"/>
          <w:bCs/>
          <w:sz w:val="32"/>
          <w:szCs w:val="32"/>
        </w:rPr>
        <w:t>081-8845356</w:t>
      </w:r>
    </w:p>
    <w:p w:rsidR="00605B5A" w:rsidRPr="002C619C" w:rsidRDefault="00605B5A" w:rsidP="00605B5A">
      <w:pPr>
        <w:ind w:firstLine="459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C619C">
        <w:rPr>
          <w:rFonts w:ascii="TH SarabunPSK" w:hAnsi="TH SarabunPSK" w:cs="TH SarabunPSK"/>
          <w:bCs/>
          <w:sz w:val="32"/>
          <w:szCs w:val="32"/>
        </w:rPr>
        <w:t>e-mail</w:t>
      </w:r>
      <w:proofErr w:type="gramEnd"/>
      <w:r w:rsidRPr="002C619C">
        <w:rPr>
          <w:rFonts w:ascii="TH SarabunPSK" w:hAnsi="TH SarabunPSK" w:cs="TH SarabunPSK"/>
          <w:bCs/>
          <w:sz w:val="32"/>
          <w:szCs w:val="32"/>
        </w:rPr>
        <w:t xml:space="preserve">: roengchit123@gmail.com </w:t>
      </w:r>
    </w:p>
    <w:p w:rsidR="0065105B" w:rsidRPr="00605B5A" w:rsidRDefault="0065105B" w:rsidP="00605B5A">
      <w:bookmarkStart w:id="0" w:name="_GoBack"/>
      <w:bookmarkEnd w:id="0"/>
    </w:p>
    <w:sectPr w:rsidR="0065105B" w:rsidRPr="00605B5A" w:rsidSect="00EC3E23">
      <w:footerReference w:type="default" r:id="rId8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E1" w:rsidRDefault="00594AE1">
      <w:r>
        <w:separator/>
      </w:r>
    </w:p>
  </w:endnote>
  <w:endnote w:type="continuationSeparator" w:id="0">
    <w:p w:rsidR="00594AE1" w:rsidRDefault="005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594A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E1" w:rsidRDefault="00594AE1">
      <w:r>
        <w:separator/>
      </w:r>
    </w:p>
  </w:footnote>
  <w:footnote w:type="continuationSeparator" w:id="0">
    <w:p w:rsidR="00594AE1" w:rsidRDefault="0059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70503A"/>
    <w:multiLevelType w:val="hybridMultilevel"/>
    <w:tmpl w:val="8C26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D7BAA"/>
    <w:multiLevelType w:val="hybridMultilevel"/>
    <w:tmpl w:val="2A76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0617D4"/>
    <w:rsid w:val="00182039"/>
    <w:rsid w:val="00301928"/>
    <w:rsid w:val="0047331A"/>
    <w:rsid w:val="004E61AA"/>
    <w:rsid w:val="00594AE1"/>
    <w:rsid w:val="00605B5A"/>
    <w:rsid w:val="006475FB"/>
    <w:rsid w:val="0065105B"/>
    <w:rsid w:val="006728E2"/>
    <w:rsid w:val="00716E48"/>
    <w:rsid w:val="007B1FC7"/>
    <w:rsid w:val="00897110"/>
    <w:rsid w:val="008A6ABE"/>
    <w:rsid w:val="00B874C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6">
    <w:name w:val="เส้นตาราง16"/>
    <w:basedOn w:val="a1"/>
    <w:next w:val="af2"/>
    <w:uiPriority w:val="59"/>
    <w:rsid w:val="0006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605B5A"/>
    <w:pPr>
      <w:spacing w:after="120"/>
    </w:pPr>
    <w:rPr>
      <w:szCs w:val="35"/>
    </w:rPr>
  </w:style>
  <w:style w:type="character" w:customStyle="1" w:styleId="af8">
    <w:name w:val="เนื้อความ อักขระ"/>
    <w:basedOn w:val="a0"/>
    <w:link w:val="af7"/>
    <w:uiPriority w:val="99"/>
    <w:semiHidden/>
    <w:rsid w:val="00605B5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th-TH" sz="1800" dirty="0">
                <a:latin typeface="TH SarabunPSK" pitchFamily="34" charset="-34"/>
                <a:cs typeface="TH SarabunPSK" pitchFamily="34" charset="-34"/>
              </a:rPr>
              <a:t>อัตราการฆ่าตัวตายสำเร็จ</a:t>
            </a:r>
          </a:p>
        </c:rich>
      </c:tx>
      <c:layout>
        <c:manualLayout>
          <c:xMode val="edge"/>
          <c:yMode val="edge"/>
          <c:x val="8.9070596944612731E-4"/>
          <c:y val="0.130199423959348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023880211694895"/>
          <c:y val="3.6283625466357008E-2"/>
          <c:w val="0.63056265507795028"/>
          <c:h val="0.654384811094016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อัตราการฆ่าตัวตายสำเร็จ</c:v>
                </c:pt>
              </c:strCache>
            </c:strRef>
          </c:tx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100"/>
                    </a:pPr>
                    <a:r>
                      <a:rPr lang="th-TH" dirty="0"/>
                      <a:t> </a:t>
                    </a:r>
                    <a:r>
                      <a:rPr lang="th-TH" sz="1800" dirty="0"/>
                      <a:t>5.34</a:t>
                    </a:r>
                    <a:r>
                      <a:rPr lang="th-TH" sz="1800" baseline="0" dirty="0"/>
                      <a:t> (</a:t>
                    </a:r>
                    <a:r>
                      <a:rPr lang="th-TH" sz="1400" baseline="0" dirty="0"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4 ด)</a:t>
                    </a:r>
                    <a:endParaRPr lang="th-TH" dirty="0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372-42E3-9CF2-1D1897C7106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Sheet1!$B$5:$E$5</c:f>
              <c:numCache>
                <c:formatCode>General</c:formatCode>
                <c:ptCount val="4"/>
                <c:pt idx="0">
                  <c:v>2559</c:v>
                </c:pt>
                <c:pt idx="1">
                  <c:v>2560</c:v>
                </c:pt>
                <c:pt idx="2">
                  <c:v>2561</c:v>
                </c:pt>
                <c:pt idx="3">
                  <c:v>2562</c:v>
                </c:pt>
              </c:numCache>
            </c:numRef>
          </c:xVal>
          <c:yVal>
            <c:numRef>
              <c:f>Sheet1!$B$6:$E$6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17.38</c:v>
                </c:pt>
                <c:pt idx="2">
                  <c:v>12.92</c:v>
                </c:pt>
                <c:pt idx="3">
                  <c:v>5.34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372-42E3-9CF2-1D1897C71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6021248"/>
        <c:axId val="1736016352"/>
      </c:scatterChart>
      <c:valAx>
        <c:axId val="17360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1736016352"/>
        <c:crosses val="autoZero"/>
        <c:crossBetween val="midCat"/>
        <c:majorUnit val="1"/>
        <c:minorUnit val="0.1"/>
      </c:valAx>
      <c:valAx>
        <c:axId val="1736016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360212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2019-02-22T07:13:00Z</dcterms:created>
  <dcterms:modified xsi:type="dcterms:W3CDTF">2019-02-22T07:13:00Z</dcterms:modified>
</cp:coreProperties>
</file>